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107E1">
      <w:pPr>
        <w:pStyle w:val="34"/>
        <w:ind w:left="1080"/>
        <w:rPr>
          <w:b/>
          <w:bCs/>
        </w:rPr>
      </w:pPr>
      <w:bookmarkStart w:id="0" w:name="_Hlk207616389"/>
      <w:r>
        <w:rPr>
          <w:rFonts w:eastAsiaTheme="majorEastAsia"/>
        </w:rPr>
        <mc:AlternateContent>
          <mc:Choice Requires="wps">
            <w:drawing>
              <wp:anchor distT="0" distB="0" distL="114300" distR="114300" simplePos="0" relativeHeight="251659264" behindDoc="0" locked="0" layoutInCell="1" allowOverlap="1">
                <wp:simplePos x="0" y="0"/>
                <wp:positionH relativeFrom="column">
                  <wp:posOffset>-126340870</wp:posOffset>
                </wp:positionH>
                <wp:positionV relativeFrom="paragraph">
                  <wp:posOffset>-1015559945</wp:posOffset>
                </wp:positionV>
                <wp:extent cx="4952365" cy="297180"/>
                <wp:effectExtent l="0" t="0" r="0" b="7620"/>
                <wp:wrapNone/>
                <wp:docPr id="1239672213" name="Text Box 3"/>
                <wp:cNvGraphicFramePr/>
                <a:graphic xmlns:a="http://schemas.openxmlformats.org/drawingml/2006/main">
                  <a:graphicData uri="http://schemas.microsoft.com/office/word/2010/wordprocessingShape">
                    <wps:wsp>
                      <wps:cNvSpPr txBox="1"/>
                      <wps:spPr>
                        <a:xfrm>
                          <a:off x="0" y="0"/>
                          <a:ext cx="4952365" cy="297180"/>
                        </a:xfrm>
                        <a:prstGeom prst="rect">
                          <a:avLst/>
                        </a:prstGeom>
                        <a:noFill/>
                        <a:ln w="6350">
                          <a:noFill/>
                        </a:ln>
                      </wps:spPr>
                      <wps:txbx>
                        <w:txbxContent>
                          <w:p w14:paraId="2D6DA007">
                            <w:r>
                              <w:rPr>
                                <w:rFonts w:eastAsia="Calibri"/>
                              </w:rPr>
                              <w:t>Strengthening Institutional Capacity for Climate Change Adaptation Planning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9948.1pt;margin-top:-79965.35pt;height:23.4pt;width:389.95pt;z-index:251659264;mso-width-relative:page;mso-height-relative:page;" filled="f" stroked="f" coordsize="21600,21600" o:gfxdata="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PII4DOQAAAAZAQAADwAAAAAAAAABACAAAAAiAAAA&#10;ZHJzL2Rvd25yZXYueG1sUEsBAhQAFAAAAAgAh07iQDR6z0g0AgAAbgQAAA4AAAAAAAAAAQAgAAAA&#10;MwEAAGRycy9lMm9Eb2MueG1sUEsFBgAAAAAGAAYAWQEAANkFAAAAAA==&#10;">
                <v:fill on="f" focussize="0,0"/>
                <v:stroke on="f" weight="0.5pt"/>
                <v:imagedata o:title=""/>
                <o:lock v:ext="edit" aspectratio="f"/>
                <v:textbox>
                  <w:txbxContent>
                    <w:p w14:paraId="2D6DA007">
                      <w:r>
                        <w:rPr>
                          <w:rFonts w:eastAsia="Calibri"/>
                        </w:rPr>
                        <w:t>Strengthening Institutional Capacity for Climate Change Adaptation Planning</w:t>
                      </w:r>
                    </w:p>
                  </w:txbxContent>
                </v:textbox>
              </v:shape>
            </w:pict>
          </mc:Fallback>
        </mc:AlternateContent>
      </w:r>
    </w:p>
    <w:p w14:paraId="79B82CAF">
      <w:pPr>
        <w:pStyle w:val="34"/>
        <w:ind w:left="1080"/>
        <w:rPr>
          <w:b/>
          <w:bCs/>
        </w:rPr>
      </w:pPr>
    </w:p>
    <w:p w14:paraId="29972FA2">
      <w:pPr>
        <w:pStyle w:val="34"/>
        <w:numPr>
          <w:ilvl w:val="0"/>
          <w:numId w:val="1"/>
        </w:numPr>
        <w:rPr>
          <w:b/>
          <w:bCs/>
        </w:rPr>
      </w:pPr>
      <w:r>
        <w:rPr>
          <w:b/>
          <w:bCs/>
        </w:rPr>
        <w:t>CONSULTANCY SUMMARY</w:t>
      </w:r>
    </w:p>
    <w:tbl>
      <w:tblPr>
        <w:tblStyle w:val="19"/>
        <w:tblW w:w="1035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2970"/>
        <w:gridCol w:w="3690"/>
        <w:gridCol w:w="2430"/>
      </w:tblGrid>
      <w:tr w14:paraId="4EFE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0" w:type="dxa"/>
            <w:gridSpan w:val="2"/>
            <w:vAlign w:val="center"/>
          </w:tcPr>
          <w:p w14:paraId="280B2FA5">
            <w:r>
              <w:t xml:space="preserve">Job Title </w:t>
            </w:r>
          </w:p>
        </w:tc>
        <w:tc>
          <w:tcPr>
            <w:tcW w:w="6120" w:type="dxa"/>
            <w:gridSpan w:val="2"/>
            <w:vAlign w:val="center"/>
          </w:tcPr>
          <w:p w14:paraId="502FA5F5">
            <w:r>
              <w:t>National Community Monitoring Expert</w:t>
            </w:r>
          </w:p>
        </w:tc>
      </w:tr>
      <w:tr w14:paraId="776CA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0" w:type="dxa"/>
            <w:gridSpan w:val="2"/>
            <w:vAlign w:val="center"/>
          </w:tcPr>
          <w:p w14:paraId="13919B1C">
            <w:r>
              <w:t>Division/Department</w:t>
            </w:r>
          </w:p>
        </w:tc>
        <w:tc>
          <w:tcPr>
            <w:tcW w:w="6120" w:type="dxa"/>
            <w:gridSpan w:val="2"/>
            <w:vAlign w:val="center"/>
          </w:tcPr>
          <w:p w14:paraId="53F84B46">
            <w:r>
              <w:t>Project: Enhancing the Resilience of Vulnerable Coastal Communities in Sinoe County, Liberia (ERVCCS)</w:t>
            </w:r>
          </w:p>
        </w:tc>
      </w:tr>
      <w:tr w14:paraId="54A70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0" w:type="dxa"/>
            <w:gridSpan w:val="2"/>
            <w:vAlign w:val="center"/>
          </w:tcPr>
          <w:p w14:paraId="1F7F5C31">
            <w:r>
              <w:t>Program/Project Number/</w:t>
            </w:r>
            <w:r>
              <w:rPr>
                <w:b/>
                <w:lang w:val="en-GB"/>
              </w:rPr>
              <w:t xml:space="preserve"> GEF Project ID number</w:t>
            </w:r>
          </w:p>
        </w:tc>
        <w:tc>
          <w:tcPr>
            <w:tcW w:w="6120" w:type="dxa"/>
            <w:gridSpan w:val="2"/>
            <w:vAlign w:val="center"/>
          </w:tcPr>
          <w:p w14:paraId="74009026">
            <w:r>
              <w:rPr>
                <w:lang w:val="en-GB"/>
              </w:rPr>
              <w:t>10376</w:t>
            </w:r>
          </w:p>
        </w:tc>
      </w:tr>
      <w:tr w14:paraId="14A44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0" w:type="dxa"/>
            <w:gridSpan w:val="2"/>
            <w:vAlign w:val="center"/>
          </w:tcPr>
          <w:p w14:paraId="268BF279">
            <w:r>
              <w:rPr>
                <w:rFonts w:eastAsia="Calibri"/>
              </w:rPr>
              <w:t>Activity Result</w:t>
            </w:r>
          </w:p>
        </w:tc>
        <w:tc>
          <w:tcPr>
            <w:tcW w:w="6120" w:type="dxa"/>
            <w:gridSpan w:val="2"/>
            <w:vAlign w:val="center"/>
          </w:tcPr>
          <w:p w14:paraId="61E1CB0B">
            <w:pPr>
              <w:pStyle w:val="34"/>
              <w:numPr>
                <w:ilvl w:val="0"/>
                <w:numId w:val="2"/>
              </w:numPr>
            </w:pPr>
            <w:r>
              <w:rPr>
                <w:sz w:val="22"/>
                <w:szCs w:val="22"/>
                <w:lang w:val="en-GB"/>
              </w:rPr>
              <w:t>Design</w:t>
            </w:r>
            <w:r>
              <w:rPr>
                <w:lang w:val="en-GB"/>
              </w:rPr>
              <w:t>ed training manual</w:t>
            </w:r>
            <w:r>
              <w:rPr>
                <w:sz w:val="22"/>
                <w:szCs w:val="22"/>
                <w:lang w:val="en-GB"/>
              </w:rPr>
              <w:t xml:space="preserve"> and implement training for community-based monitoring of ecosystem and biodiversity </w:t>
            </w:r>
          </w:p>
          <w:p w14:paraId="2E3762F4">
            <w:pPr>
              <w:pStyle w:val="16"/>
              <w:numPr>
                <w:ilvl w:val="0"/>
                <w:numId w:val="2"/>
              </w:numPr>
            </w:pPr>
            <w:r>
              <w:t>Baseline assessment report of the selected coastal ecosystems, highlighting priority indicators and gaps for monitoring.</w:t>
            </w:r>
          </w:p>
          <w:p w14:paraId="1DDBEB15">
            <w:pPr>
              <w:pStyle w:val="16"/>
              <w:numPr>
                <w:ilvl w:val="0"/>
                <w:numId w:val="2"/>
              </w:numPr>
            </w:pPr>
            <w:r>
              <w:t>Training report for community monitors, with participant lists, training materials, and key outcomes of the capacity-building sessions.</w:t>
            </w:r>
          </w:p>
          <w:p w14:paraId="18D64033">
            <w:pPr>
              <w:pStyle w:val="16"/>
              <w:numPr>
                <w:ilvl w:val="0"/>
                <w:numId w:val="2"/>
              </w:numPr>
            </w:pPr>
            <w:r>
              <w:t>Monitoring tools and templates (data collection forms, reporting formats, and guidelines) developed and handed over to community monitors and relevant authorities.</w:t>
            </w:r>
          </w:p>
          <w:p w14:paraId="6E69A783">
            <w:pPr>
              <w:pStyle w:val="16"/>
              <w:numPr>
                <w:ilvl w:val="0"/>
                <w:numId w:val="2"/>
              </w:numPr>
              <w:rPr>
                <w:szCs w:val="22"/>
              </w:rPr>
            </w:pPr>
            <w:r>
              <w:rPr>
                <w:szCs w:val="20"/>
                <w:lang w:val="en-GB" w:eastAsia="ja-JP"/>
              </w:rPr>
              <w:t>Training programme on community-based monitoring systems</w:t>
            </w:r>
          </w:p>
          <w:p w14:paraId="664C3543">
            <w:pPr>
              <w:pStyle w:val="16"/>
              <w:numPr>
                <w:ilvl w:val="0"/>
                <w:numId w:val="2"/>
              </w:numPr>
              <w:rPr>
                <w:sz w:val="22"/>
                <w:szCs w:val="22"/>
              </w:rPr>
            </w:pPr>
            <w:r>
              <w:rPr>
                <w:szCs w:val="20"/>
                <w:lang w:val="en-GB" w:eastAsia="ja-JP"/>
              </w:rPr>
              <w:t>Report of training on community-based monitoring systems</w:t>
            </w:r>
          </w:p>
        </w:tc>
      </w:tr>
      <w:tr w14:paraId="1093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0" w:type="dxa"/>
            <w:gridSpan w:val="2"/>
            <w:vAlign w:val="center"/>
          </w:tcPr>
          <w:p w14:paraId="7C88B576">
            <w:r>
              <w:rPr>
                <w:rFonts w:eastAsia="Calibri"/>
              </w:rPr>
              <w:t>Assignment</w:t>
            </w:r>
          </w:p>
        </w:tc>
        <w:tc>
          <w:tcPr>
            <w:tcW w:w="6120" w:type="dxa"/>
            <w:gridSpan w:val="2"/>
            <w:vAlign w:val="center"/>
          </w:tcPr>
          <w:p w14:paraId="23A65DCA">
            <w:pPr>
              <w:jc w:val="both"/>
              <w:rPr>
                <w:rFonts w:eastAsia="SimSun"/>
                <w:lang w:val="en-GB"/>
              </w:rPr>
            </w:pPr>
            <w:r>
              <w:rPr>
                <w:rFonts w:eastAsia="SimSun"/>
                <w:lang w:val="en-GB"/>
              </w:rPr>
              <w:t>Assist the International Community Monitoring Expert to design and implement community-based monitoring training programmes for the monitoring of ecosystem services and biodiversity</w:t>
            </w:r>
          </w:p>
          <w:p w14:paraId="4068D3D7"/>
        </w:tc>
      </w:tr>
      <w:tr w14:paraId="5C23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0" w:type="dxa"/>
            <w:gridSpan w:val="2"/>
            <w:vAlign w:val="center"/>
          </w:tcPr>
          <w:p w14:paraId="105B745F">
            <w:pPr>
              <w:rPr>
                <w:rFonts w:eastAsia="Calibri"/>
              </w:rPr>
            </w:pPr>
            <w:r>
              <w:t>Location</w:t>
            </w:r>
          </w:p>
        </w:tc>
        <w:tc>
          <w:tcPr>
            <w:tcW w:w="6120" w:type="dxa"/>
            <w:gridSpan w:val="2"/>
            <w:vAlign w:val="center"/>
          </w:tcPr>
          <w:p w14:paraId="1F8C1590">
            <w:r>
              <w:t>Greenville, Sinoe County</w:t>
            </w:r>
          </w:p>
        </w:tc>
      </w:tr>
      <w:tr w14:paraId="162C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vAlign w:val="center"/>
          </w:tcPr>
          <w:p w14:paraId="6C1BB738">
            <w:r>
              <w:t>Reports to</w:t>
            </w:r>
          </w:p>
        </w:tc>
        <w:tc>
          <w:tcPr>
            <w:tcW w:w="2970" w:type="dxa"/>
            <w:vAlign w:val="center"/>
          </w:tcPr>
          <w:p w14:paraId="7E50DBCC">
            <w:r>
              <w:t>ERVCCS Project Manager under the supervision of the Energy &amp; Environment (E&amp;E) Coordinator</w:t>
            </w:r>
          </w:p>
        </w:tc>
        <w:tc>
          <w:tcPr>
            <w:tcW w:w="3690" w:type="dxa"/>
            <w:vAlign w:val="center"/>
          </w:tcPr>
          <w:p w14:paraId="7F0D1612">
            <w:r>
              <w:t>Consultancy Duration:</w:t>
            </w:r>
          </w:p>
        </w:tc>
        <w:tc>
          <w:tcPr>
            <w:tcW w:w="2430" w:type="dxa"/>
            <w:vAlign w:val="center"/>
          </w:tcPr>
          <w:p w14:paraId="34149F36">
            <w:r>
              <w:t>3 months (90 days)</w:t>
            </w:r>
          </w:p>
        </w:tc>
      </w:tr>
    </w:tbl>
    <w:p w14:paraId="47F7AD82"/>
    <w:p w14:paraId="03C839C2">
      <w:pPr>
        <w:pStyle w:val="34"/>
        <w:numPr>
          <w:ilvl w:val="0"/>
          <w:numId w:val="1"/>
        </w:numPr>
        <w:rPr>
          <w:b/>
          <w:bCs/>
        </w:rPr>
      </w:pPr>
      <w:r>
        <w:rPr>
          <w:b/>
          <w:bCs/>
        </w:rPr>
        <w:t>PROJECT BACKGROUND</w:t>
      </w:r>
    </w:p>
    <w:tbl>
      <w:tblPr>
        <w:tblStyle w:val="19"/>
        <w:tblW w:w="1035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0"/>
      </w:tblGrid>
      <w:tr w14:paraId="1E05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50" w:type="dxa"/>
          </w:tcPr>
          <w:p w14:paraId="335C7FAD">
            <w:pPr>
              <w:spacing w:line="276" w:lineRule="auto"/>
              <w:jc w:val="both"/>
              <w:rPr>
                <w:rFonts w:eastAsia="Calibri"/>
                <w:lang w:val="en-ZA"/>
              </w:rPr>
            </w:pPr>
            <w:r>
              <w:rPr>
                <w:rFonts w:eastAsia="Calibri"/>
                <w:lang w:val="en-ZA"/>
              </w:rPr>
              <w:t>The EPA is Liberia's principal authority for environmental management. It coordinates, monitors, supervises, and consults with relevant stakeholders and sector Ministries, Agencies, and Commissions (MACs) on all activities related to protecting the environment and sustainable use of its natural resources.</w:t>
            </w:r>
          </w:p>
          <w:p w14:paraId="7E9ACC29">
            <w:pPr>
              <w:spacing w:line="276" w:lineRule="auto"/>
              <w:jc w:val="both"/>
              <w:rPr>
                <w:rFonts w:eastAsia="Calibri"/>
              </w:rPr>
            </w:pPr>
          </w:p>
          <w:p w14:paraId="13974991">
            <w:pPr>
              <w:spacing w:line="276" w:lineRule="auto"/>
              <w:jc w:val="both"/>
              <w:rPr>
                <w:rFonts w:eastAsia="Calibri"/>
              </w:rPr>
            </w:pPr>
            <w:r>
              <w:rPr>
                <w:rFonts w:eastAsia="Calibri"/>
              </w:rPr>
              <w:t>The Government of Liberia (GoL), through the EPA and the United Nations Development Program (UNDP), and with funding from the Global Environmental Facility (GEF), received funding for the project “Enhancing Resilience of Vulnerable Coastal Communities in Sinoe County of Liberia (ERVCCS).” EPA is the project's Executing Entity. It is financed by a GEF Trust Fund grant and co-financed by UNDP and the GoL.</w:t>
            </w:r>
          </w:p>
          <w:p w14:paraId="2DEDFF24">
            <w:pPr>
              <w:spacing w:line="276" w:lineRule="auto"/>
              <w:jc w:val="both"/>
              <w:rPr>
                <w:rFonts w:eastAsia="Calibri"/>
              </w:rPr>
            </w:pPr>
          </w:p>
          <w:p w14:paraId="1E61DC26">
            <w:pPr>
              <w:spacing w:line="276" w:lineRule="auto"/>
              <w:jc w:val="both"/>
              <w:rPr>
                <w:rFonts w:eastAsia="Calibri"/>
              </w:rPr>
            </w:pPr>
            <w:r>
              <w:rPr>
                <w:rFonts w:eastAsia="Calibri"/>
              </w:rPr>
              <w:t>The project aims to build on existing projects to strengthen the resilience of vulnerable coastal communities and their livelihoods to the impacts of climate change, focusing on women and youth. Specifically, project interventions include the following:</w:t>
            </w:r>
          </w:p>
          <w:p w14:paraId="2B477001">
            <w:pPr>
              <w:spacing w:line="276" w:lineRule="auto"/>
              <w:jc w:val="both"/>
              <w:rPr>
                <w:rFonts w:eastAsia="Calibri"/>
              </w:rPr>
            </w:pPr>
          </w:p>
          <w:p w14:paraId="6EA093CD">
            <w:r>
              <w:rPr>
                <w:rStyle w:val="23"/>
                <w:rFonts w:cs="Times New Roman"/>
                <w:b/>
                <w:bCs/>
                <w:color w:val="auto"/>
                <w:sz w:val="24"/>
                <w:szCs w:val="24"/>
              </w:rPr>
              <w:t>Component 1</w:t>
            </w:r>
            <w:r>
              <w:rPr>
                <w:rStyle w:val="23"/>
                <w:rFonts w:cs="Times New Roman"/>
                <w:color w:val="auto"/>
                <w:sz w:val="24"/>
                <w:szCs w:val="24"/>
              </w:rPr>
              <w:t>:</w:t>
            </w:r>
            <w:r>
              <w:rPr>
                <w:rFonts w:eastAsia="Calibri"/>
              </w:rPr>
              <w:t xml:space="preserve"> </w:t>
            </w:r>
            <w:r>
              <w:rPr>
                <w:rFonts w:eastAsia="Calibri"/>
                <w:sz w:val="22"/>
                <w:szCs w:val="22"/>
              </w:rPr>
              <w:t>Strengthening Institutional Capacity for Climate Change Adaptation Planning</w:t>
            </w:r>
            <w:r>
              <w:rPr>
                <w:rFonts w:eastAsia="Calibri"/>
              </w:rPr>
              <w:t xml:space="preserve">  </w:t>
            </w:r>
          </w:p>
          <w:p w14:paraId="21531D94">
            <w:pPr>
              <w:spacing w:line="276" w:lineRule="auto"/>
              <w:jc w:val="both"/>
              <w:rPr>
                <w:rStyle w:val="22"/>
                <w:rFonts w:ascii="Times New Roman" w:hAnsi="Times New Roman" w:cs="Times New Roman"/>
                <w:color w:val="auto"/>
                <w:sz w:val="24"/>
                <w:szCs w:val="24"/>
              </w:rPr>
            </w:pPr>
            <w:r>
              <w:rPr>
                <w:rStyle w:val="22"/>
                <w:rFonts w:ascii="Times New Roman" w:hAnsi="Times New Roman" w:cs="Times New Roman"/>
                <w:b/>
                <w:bCs/>
                <w:color w:val="auto"/>
                <w:sz w:val="24"/>
                <w:szCs w:val="24"/>
              </w:rPr>
              <w:t>Component 2</w:t>
            </w:r>
            <w:r>
              <w:rPr>
                <w:rStyle w:val="22"/>
                <w:rFonts w:ascii="Times New Roman" w:hAnsi="Times New Roman" w:cs="Times New Roman"/>
                <w:color w:val="auto"/>
                <w:sz w:val="24"/>
                <w:szCs w:val="24"/>
              </w:rPr>
              <w:t>:</w:t>
            </w:r>
            <w:r>
              <w:rPr>
                <w:rFonts w:eastAsia="Calibri"/>
              </w:rPr>
              <w:t xml:space="preserve"> </w:t>
            </w:r>
            <w:r>
              <w:rPr>
                <w:sz w:val="22"/>
                <w:szCs w:val="22"/>
                <w:lang w:val="en-GB"/>
              </w:rPr>
              <w:t>Innovation, technologies and climate information introduced for coastal adaptation planning.</w:t>
            </w:r>
          </w:p>
          <w:p w14:paraId="0CA28538">
            <w:pPr>
              <w:spacing w:line="276" w:lineRule="auto"/>
              <w:jc w:val="both"/>
              <w:rPr>
                <w:rFonts w:eastAsia="Calibri"/>
              </w:rPr>
            </w:pPr>
            <w:r>
              <w:rPr>
                <w:rStyle w:val="22"/>
                <w:rFonts w:ascii="Times New Roman" w:hAnsi="Times New Roman" w:cs="Times New Roman"/>
                <w:b/>
                <w:bCs/>
                <w:color w:val="auto"/>
                <w:sz w:val="24"/>
                <w:szCs w:val="24"/>
              </w:rPr>
              <w:t>Component 3</w:t>
            </w:r>
            <w:r>
              <w:rPr>
                <w:rStyle w:val="22"/>
                <w:rFonts w:ascii="Times New Roman" w:hAnsi="Times New Roman" w:cs="Times New Roman"/>
                <w:color w:val="auto"/>
                <w:sz w:val="24"/>
                <w:szCs w:val="24"/>
              </w:rPr>
              <w:t>:</w:t>
            </w:r>
            <w:r>
              <w:rPr>
                <w:rFonts w:eastAsia="Calibri"/>
              </w:rPr>
              <w:t xml:space="preserve"> </w:t>
            </w:r>
            <w:r>
              <w:rPr>
                <w:rFonts w:eastAsia="Calibri"/>
                <w:sz w:val="22"/>
                <w:szCs w:val="22"/>
              </w:rPr>
              <w:t>Introducing Engineered Hybrid Adaptation Solutions,</w:t>
            </w:r>
            <w:r>
              <w:rPr>
                <w:rFonts w:eastAsia="Calibri" w:asciiTheme="minorHAnsi" w:hAnsiTheme="minorHAnsi" w:cstheme="minorHAnsi"/>
                <w:sz w:val="22"/>
                <w:szCs w:val="22"/>
              </w:rPr>
              <w:t xml:space="preserve"> and; </w:t>
            </w:r>
          </w:p>
          <w:p w14:paraId="51DD6FA3">
            <w:pPr>
              <w:spacing w:line="276" w:lineRule="auto"/>
              <w:jc w:val="both"/>
              <w:rPr>
                <w:rFonts w:eastAsia="Calibri"/>
                <w:sz w:val="22"/>
                <w:szCs w:val="22"/>
              </w:rPr>
            </w:pPr>
            <w:r>
              <w:rPr>
                <w:rStyle w:val="22"/>
                <w:rFonts w:ascii="Times New Roman" w:hAnsi="Times New Roman" w:cs="Times New Roman"/>
                <w:b/>
                <w:bCs/>
                <w:color w:val="auto"/>
                <w:sz w:val="24"/>
                <w:szCs w:val="24"/>
              </w:rPr>
              <w:t>Component 4</w:t>
            </w:r>
            <w:r>
              <w:rPr>
                <w:rStyle w:val="22"/>
                <w:rFonts w:ascii="Times New Roman" w:hAnsi="Times New Roman" w:cs="Times New Roman"/>
                <w:color w:val="auto"/>
                <w:sz w:val="24"/>
                <w:szCs w:val="24"/>
              </w:rPr>
              <w:t xml:space="preserve">: </w:t>
            </w:r>
            <w:r>
              <w:rPr>
                <w:rFonts w:eastAsia="Calibri"/>
                <w:sz w:val="22"/>
                <w:szCs w:val="22"/>
              </w:rPr>
              <w:t xml:space="preserve">Supporting Resilient Livelihood Diversification through Training and Improved Access to Finance. </w:t>
            </w:r>
          </w:p>
          <w:p w14:paraId="3710A631">
            <w:pPr>
              <w:spacing w:line="276" w:lineRule="auto"/>
              <w:jc w:val="both"/>
              <w:rPr>
                <w:rFonts w:eastAsia="Calibri"/>
              </w:rPr>
            </w:pPr>
          </w:p>
          <w:p w14:paraId="14C487CF">
            <w:pPr>
              <w:spacing w:line="276" w:lineRule="auto"/>
              <w:jc w:val="both"/>
              <w:rPr>
                <w:rFonts w:eastAsia="Calibri"/>
              </w:rPr>
            </w:pPr>
            <w:r>
              <w:rPr>
                <w:rFonts w:eastAsia="Calibri"/>
              </w:rPr>
              <w:t>The majority of the above interventions will target all coastal counties in Liberia. In contrast, hybrid adaptation interventions will be explicitly implemented in Sinoe County, one of the country’s most vulnerable coastal counties.</w:t>
            </w:r>
          </w:p>
          <w:p w14:paraId="529ADA27">
            <w:pPr>
              <w:spacing w:line="276" w:lineRule="auto"/>
              <w:jc w:val="both"/>
              <w:rPr>
                <w:rFonts w:eastAsia="Calibri"/>
                <w:sz w:val="10"/>
                <w:szCs w:val="10"/>
              </w:rPr>
            </w:pPr>
          </w:p>
          <w:p w14:paraId="19AFEEB9">
            <w:pPr>
              <w:spacing w:line="276" w:lineRule="auto"/>
              <w:jc w:val="both"/>
              <w:rPr>
                <w:rFonts w:eastAsia="Calibri"/>
              </w:rPr>
            </w:pPr>
            <w:r>
              <w:rPr>
                <w:rFonts w:eastAsia="Calibri"/>
              </w:rPr>
              <w:t>The impacts of climate change, combined with non-climatic drivers, such as sand mining, the expansion of agricultural areas, unsustainable fishing, pollution, and inadequate drainage systems, compromise the resilience of Liberian communities' ecosystems along the coastline. Consequently, local communities and ecosystems are experiencing increased coastal flooding and erosion, saltwater intrusion into groundwater supplies, waterlogging of inland areas, and sedimentation of rivers and freshwater resources due to Sea Level Rise (SLR) and higher-intensity rainfall events. The vulnerability of communities and ecosystems occurs through I) inundation and consequent damage of coastal infrastructure, II) loss of fishery and agriculture-dependent livelihoods, III) decrease in stable income generation for coastal communities, IV) increase in conflict and competition over resources within communities, V) decrease in food and nutrition security, VI) increased risk of vector- and waterborne diseases through waterlogging, and VII) increased pressure on surrounding ecosystems to compensate for the reduced provision of services from coastal, wetland and mangrove ecosystems. In addition, the vulnerability of Liberia’s coastal communities and their resilience to climate change, particularly in Sinoe County, is exacerbated by the limited capacity of GoL to provide essential services and adequate support for, among other things, water and sanitation, healthcare, utility-scale energy, and road infrastructure.</w:t>
            </w:r>
          </w:p>
          <w:p w14:paraId="0D65FFE9">
            <w:pPr>
              <w:spacing w:line="276" w:lineRule="auto"/>
              <w:jc w:val="both"/>
              <w:rPr>
                <w:rFonts w:eastAsia="Calibri"/>
              </w:rPr>
            </w:pPr>
          </w:p>
          <w:p w14:paraId="1D1732D0">
            <w:pPr>
              <w:spacing w:line="276" w:lineRule="auto"/>
              <w:jc w:val="both"/>
              <w:rPr>
                <w:rFonts w:eastAsia="Calibri"/>
              </w:rPr>
            </w:pPr>
            <w:r>
              <w:rPr>
                <w:rFonts w:eastAsia="Calibri"/>
              </w:rPr>
              <w:t xml:space="preserve">As a result, coastal communities in Liberia are threatened by damaging floods and erosion, both of which are increasing due to sea level rise and other impacts of climate change, such as increasingly intense rainfall events and the current limited financial and technical capacity at the national and county levels to address these threats. </w:t>
            </w:r>
          </w:p>
        </w:tc>
      </w:tr>
    </w:tbl>
    <w:p w14:paraId="42C29019"/>
    <w:p w14:paraId="3D1EE27A">
      <w:pPr>
        <w:pStyle w:val="34"/>
        <w:numPr>
          <w:ilvl w:val="0"/>
          <w:numId w:val="1"/>
        </w:numPr>
        <w:rPr>
          <w:b/>
          <w:bCs/>
        </w:rPr>
      </w:pPr>
      <w:r>
        <w:rPr>
          <w:b/>
          <w:bCs/>
        </w:rPr>
        <w:t>SCOPE OF WORK</w:t>
      </w:r>
    </w:p>
    <w:tbl>
      <w:tblPr>
        <w:tblStyle w:val="19"/>
        <w:tblW w:w="1026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0"/>
      </w:tblGrid>
      <w:tr w14:paraId="2F34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Pr>
          <w:p w14:paraId="64E34287">
            <w:pPr>
              <w:spacing w:before="100" w:beforeAutospacing="1" w:after="100" w:afterAutospacing="1"/>
            </w:pPr>
            <w:r>
              <w:t xml:space="preserve">Under Component Three of the project, the consultant will support the international consultant in the establishment of a </w:t>
            </w:r>
            <w:r>
              <w:rPr>
                <w:b/>
                <w:bCs/>
              </w:rPr>
              <w:t>community-based coastal ecosystem monitoring programme</w:t>
            </w:r>
            <w:r>
              <w:t xml:space="preserve"> to sustain nature-based adaptation interventions already initiated under the project. The assignment will build on previous work such as mangrove and forest restoration, the community action plans (CAPs), and the participatory community monitoring framework.</w:t>
            </w:r>
          </w:p>
          <w:p w14:paraId="7D7C1792">
            <w:pPr>
              <w:spacing w:before="100" w:beforeAutospacing="1" w:after="100" w:afterAutospacing="1"/>
              <w:jc w:val="both"/>
            </w:pPr>
            <w:r>
              <w:t>The monitoring programme will be designed to ensure that communities have the tools and skills to continuously access the health of coastal ecosystems and identify early signs of contamination and degradation. Specific tasks will include:</w:t>
            </w:r>
          </w:p>
          <w:p w14:paraId="1CA136C6">
            <w:pPr>
              <w:numPr>
                <w:ilvl w:val="0"/>
                <w:numId w:val="3"/>
              </w:numPr>
              <w:spacing w:before="100" w:beforeAutospacing="1" w:after="100" w:afterAutospacing="1"/>
            </w:pPr>
            <w:r>
              <w:t>Assist the IC in the conduct a baseline assessment of selected coastal sites to determine ecological conditions and monitoring priorities.</w:t>
            </w:r>
          </w:p>
          <w:p w14:paraId="6FBF11C9">
            <w:pPr>
              <w:numPr>
                <w:ilvl w:val="0"/>
                <w:numId w:val="3"/>
              </w:numPr>
              <w:spacing w:before="100" w:beforeAutospacing="1" w:after="100" w:afterAutospacing="1"/>
            </w:pPr>
            <w:r>
              <w:t>Assist the IC in designing simple monitoring tools and templates that can be used by community members with limited technical background.</w:t>
            </w:r>
          </w:p>
          <w:p w14:paraId="101A2D48">
            <w:pPr>
              <w:numPr>
                <w:ilvl w:val="0"/>
                <w:numId w:val="3"/>
              </w:numPr>
              <w:spacing w:before="100" w:beforeAutospacing="1" w:after="100" w:afterAutospacing="1"/>
            </w:pPr>
            <w:r>
              <w:t>Support the IC in utilizing the Participatory Community Monitoring Framework (PCMF) and the CAPs to train all participating community</w:t>
            </w:r>
          </w:p>
          <w:p w14:paraId="5747CDF0">
            <w:pPr>
              <w:numPr>
                <w:ilvl w:val="0"/>
                <w:numId w:val="3"/>
              </w:numPr>
              <w:spacing w:before="100" w:beforeAutospacing="1" w:after="100" w:afterAutospacing="1"/>
            </w:pPr>
            <w:r>
              <w:t>Assist the IC in training community monitors and strengthening local capacity to collect, analyze, and report on ecosystem data, when using GPS, water quality monitoring its, river gauge, invasive plant management equipment, fish monitoring equipment, binocular, camera traps, and field guides.</w:t>
            </w:r>
          </w:p>
          <w:p w14:paraId="78B46586">
            <w:pPr>
              <w:numPr>
                <w:ilvl w:val="0"/>
                <w:numId w:val="3"/>
              </w:numPr>
              <w:spacing w:before="100" w:beforeAutospacing="1" w:after="100" w:afterAutospacing="1"/>
            </w:pPr>
            <w:r>
              <w:t>Assist the IC in establishing a system for storing, managing, and sharing monitoring information with county and national institutions to guide planning, policy development, and budgeting.</w:t>
            </w:r>
          </w:p>
          <w:p w14:paraId="3BA7B0C1">
            <w:pPr>
              <w:numPr>
                <w:ilvl w:val="0"/>
                <w:numId w:val="3"/>
              </w:numPr>
              <w:spacing w:before="100" w:beforeAutospacing="1" w:after="100" w:afterAutospacing="1"/>
            </w:pPr>
            <w:r>
              <w:t>Assist the IC in ensuring that monitoring is inclusive by deliberately engaging women, youth, and people with disabilities in the process.</w:t>
            </w:r>
          </w:p>
          <w:p w14:paraId="2B34A552">
            <w:pPr>
              <w:spacing w:before="100" w:beforeAutospacing="1" w:after="100" w:afterAutospacing="1"/>
              <w:outlineLvl w:val="2"/>
              <w:rPr>
                <w:b/>
                <w:bCs/>
              </w:rPr>
            </w:pPr>
            <w:r>
              <w:rPr>
                <w:b/>
                <w:bCs/>
              </w:rPr>
              <w:t>Roles and Responsibilities</w:t>
            </w:r>
          </w:p>
          <w:p w14:paraId="1DB70006">
            <w:pPr>
              <w:spacing w:before="100" w:beforeAutospacing="1" w:after="100" w:afterAutospacing="1"/>
              <w:jc w:val="both"/>
              <w:rPr>
                <w:sz w:val="22"/>
                <w:szCs w:val="22"/>
              </w:rPr>
            </w:pPr>
            <w:r>
              <w:rPr>
                <w:sz w:val="22"/>
                <w:szCs w:val="22"/>
              </w:rPr>
              <w:t>The national consultant will be responsible for the following:</w:t>
            </w:r>
          </w:p>
          <w:p w14:paraId="2FBDFAB7">
            <w:pPr>
              <w:numPr>
                <w:ilvl w:val="0"/>
                <w:numId w:val="3"/>
              </w:numPr>
              <w:spacing w:before="100" w:beforeAutospacing="1" w:after="100" w:afterAutospacing="1"/>
              <w:jc w:val="both"/>
              <w:rPr>
                <w:sz w:val="22"/>
                <w:szCs w:val="22"/>
              </w:rPr>
            </w:pPr>
            <w:r>
              <w:rPr>
                <w:sz w:val="22"/>
                <w:szCs w:val="22"/>
              </w:rPr>
              <w:t>Arrange meetings between the project team and the IC</w:t>
            </w:r>
          </w:p>
          <w:p w14:paraId="6849DC59">
            <w:pPr>
              <w:numPr>
                <w:ilvl w:val="0"/>
                <w:numId w:val="3"/>
              </w:numPr>
              <w:spacing w:before="100" w:beforeAutospacing="1" w:after="100" w:afterAutospacing="1"/>
              <w:jc w:val="both"/>
              <w:rPr>
                <w:sz w:val="22"/>
                <w:szCs w:val="22"/>
              </w:rPr>
            </w:pPr>
            <w:r>
              <w:rPr>
                <w:sz w:val="22"/>
                <w:szCs w:val="22"/>
              </w:rPr>
              <w:t>Lead stakeholders engagements and all presentations and training sessions Conduct consultations with local communities, county authorities, and project partners to align monitoring priorities.</w:t>
            </w:r>
          </w:p>
          <w:p w14:paraId="749742FB">
            <w:pPr>
              <w:numPr>
                <w:ilvl w:val="0"/>
                <w:numId w:val="3"/>
              </w:numPr>
              <w:spacing w:before="100" w:beforeAutospacing="1" w:after="100" w:afterAutospacing="1"/>
              <w:jc w:val="both"/>
              <w:rPr>
                <w:sz w:val="22"/>
                <w:szCs w:val="22"/>
              </w:rPr>
            </w:pPr>
            <w:r>
              <w:rPr>
                <w:sz w:val="22"/>
                <w:szCs w:val="22"/>
              </w:rPr>
              <w:t>Establish community-specific monitoring committees (community monitors) that will be trained to monitor ecosystems and biodiversity across Downtown, Seebeh, Baffu Bay, Nanakru, Pungbor, and Tournata</w:t>
            </w:r>
          </w:p>
          <w:p w14:paraId="69F192AA">
            <w:pPr>
              <w:pStyle w:val="34"/>
              <w:numPr>
                <w:ilvl w:val="0"/>
                <w:numId w:val="3"/>
              </w:numPr>
              <w:contextualSpacing w:val="0"/>
              <w:rPr>
                <w:sz w:val="22"/>
                <w:szCs w:val="22"/>
                <w:lang w:val="en-GB" w:eastAsia="ja-JP"/>
              </w:rPr>
            </w:pPr>
            <w:r>
              <w:rPr>
                <w:sz w:val="22"/>
                <w:szCs w:val="22"/>
                <w:lang w:val="en-GB" w:eastAsia="ja-JP"/>
              </w:rPr>
              <w:t>Design training programme on community-based monitoring systems</w:t>
            </w:r>
          </w:p>
          <w:p w14:paraId="1FD1717F">
            <w:pPr>
              <w:numPr>
                <w:ilvl w:val="0"/>
                <w:numId w:val="3"/>
              </w:numPr>
              <w:spacing w:before="100" w:beforeAutospacing="1" w:after="100" w:afterAutospacing="1"/>
            </w:pPr>
            <w:r>
              <w:t>Lead the participatory workshops  for community monitors to co-develop monitoring indicators and methods, and to monitor coastal ecosystem and biodiversity.</w:t>
            </w:r>
          </w:p>
          <w:p w14:paraId="40FBCBE9">
            <w:pPr>
              <w:numPr>
                <w:ilvl w:val="0"/>
                <w:numId w:val="3"/>
              </w:numPr>
              <w:spacing w:before="100" w:beforeAutospacing="1" w:after="100" w:afterAutospacing="1"/>
            </w:pPr>
            <w:r>
              <w:t>Lead training for community monitors, including practical field sessions.</w:t>
            </w:r>
          </w:p>
          <w:p w14:paraId="16CA7B05">
            <w:pPr>
              <w:numPr>
                <w:ilvl w:val="0"/>
                <w:numId w:val="3"/>
              </w:numPr>
              <w:spacing w:before="100" w:beforeAutospacing="1" w:after="100" w:afterAutospacing="1"/>
            </w:pPr>
            <w:r>
              <w:t>Assist in the development of user-friendly manuals and reporting templates for ongoing monitoring activities.</w:t>
            </w:r>
          </w:p>
          <w:p w14:paraId="70DE2C54">
            <w:pPr>
              <w:numPr>
                <w:ilvl w:val="0"/>
                <w:numId w:val="3"/>
              </w:numPr>
              <w:spacing w:before="100" w:beforeAutospacing="1" w:after="100" w:afterAutospacing="1"/>
            </w:pPr>
            <w:r>
              <w:t>Support the Project Management Unit (PMU) in integrating monitoring data into decision-making and reporting systems.</w:t>
            </w:r>
          </w:p>
          <w:p w14:paraId="16579797">
            <w:pPr>
              <w:numPr>
                <w:ilvl w:val="0"/>
                <w:numId w:val="3"/>
              </w:numPr>
              <w:spacing w:before="100" w:beforeAutospacing="1" w:after="100" w:afterAutospacing="1"/>
            </w:pPr>
            <w:r>
              <w:t>Establish feedback mechanisms to ensure that monitoring results are shared with communities and used to strengthen local adaptation actions.</w:t>
            </w:r>
          </w:p>
          <w:p w14:paraId="395F461C">
            <w:pPr>
              <w:numPr>
                <w:ilvl w:val="0"/>
                <w:numId w:val="3"/>
              </w:numPr>
              <w:spacing w:before="100" w:beforeAutospacing="1" w:after="100" w:afterAutospacing="1"/>
            </w:pPr>
            <w:r>
              <w:t>Support the close coordination with project partners such as Conservation International (CI), EPA, FDA, and local NGOs and document minutes and findings from coordination meeting to draw on existing experience and avoid duplication.</w:t>
            </w:r>
          </w:p>
          <w:p w14:paraId="148B3660">
            <w:pPr>
              <w:pStyle w:val="16"/>
            </w:pPr>
            <w:r>
              <w:t>The monitoring programme will enhance community ownership, improve accountability for project interventions, and provide reliable evidence for decision-making on resilience and natural resource management.</w:t>
            </w:r>
          </w:p>
          <w:p w14:paraId="3BB1CDE7">
            <w:pPr>
              <w:pStyle w:val="34"/>
              <w:tabs>
                <w:tab w:val="left" w:pos="1107"/>
              </w:tabs>
              <w:spacing w:after="160" w:line="259" w:lineRule="auto"/>
              <w:jc w:val="both"/>
              <w:rPr>
                <w:lang w:val="en-GB" w:eastAsia="ja-JP"/>
              </w:rPr>
            </w:pPr>
          </w:p>
        </w:tc>
      </w:tr>
    </w:tbl>
    <w:p w14:paraId="1B72A642"/>
    <w:p w14:paraId="1860E681">
      <w:pPr>
        <w:pStyle w:val="2"/>
        <w:numPr>
          <w:ilvl w:val="0"/>
          <w:numId w:val="1"/>
        </w:numPr>
        <w:ind w:left="720" w:hanging="360"/>
        <w:rPr>
          <w:rFonts w:ascii="Times New Roman" w:hAnsi="Times New Roman" w:eastAsia="Calibri" w:cs="Times New Roman"/>
          <w:b/>
          <w:bCs/>
          <w:color w:val="auto"/>
          <w:sz w:val="24"/>
          <w:szCs w:val="24"/>
        </w:rPr>
      </w:pPr>
      <w:r>
        <w:rPr>
          <w:rFonts w:ascii="Times New Roman" w:hAnsi="Times New Roman" w:eastAsia="Calibri" w:cs="Times New Roman"/>
          <w:b/>
          <w:bCs/>
          <w:color w:val="auto"/>
          <w:sz w:val="24"/>
          <w:szCs w:val="24"/>
        </w:rPr>
        <w:t>KEY EXPECTED OUTPUT</w:t>
      </w:r>
    </w:p>
    <w:tbl>
      <w:tblPr>
        <w:tblStyle w:val="19"/>
        <w:tblW w:w="1026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0"/>
      </w:tblGrid>
      <w:tr w14:paraId="2399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0260" w:type="dxa"/>
          </w:tcPr>
          <w:p w14:paraId="5877A300">
            <w:pPr>
              <w:pStyle w:val="16"/>
              <w:numPr>
                <w:ilvl w:val="0"/>
                <w:numId w:val="4"/>
              </w:numPr>
            </w:pPr>
            <w:r>
              <w:t>Baseline assessment report of the selected coastal ecosystems, highlighting priority indicators and gaps for monitoring.</w:t>
            </w:r>
          </w:p>
          <w:p w14:paraId="00B5236D">
            <w:pPr>
              <w:pStyle w:val="16"/>
              <w:numPr>
                <w:ilvl w:val="0"/>
                <w:numId w:val="4"/>
              </w:numPr>
            </w:pPr>
            <w:r>
              <w:t>Training report for community monitors, with participant lists, training materials, and key outcomes of the capacity-building sessions.</w:t>
            </w:r>
          </w:p>
          <w:p w14:paraId="401CB9B4">
            <w:pPr>
              <w:pStyle w:val="16"/>
              <w:numPr>
                <w:ilvl w:val="0"/>
                <w:numId w:val="4"/>
              </w:numPr>
            </w:pPr>
            <w:r>
              <w:t>Monitoring tools and templates (data collection forms, reporting formats, and guidelines) developed and handed over to community monitors and relevant authorities.</w:t>
            </w:r>
          </w:p>
          <w:p w14:paraId="290D1592">
            <w:pPr>
              <w:pStyle w:val="16"/>
              <w:numPr>
                <w:ilvl w:val="0"/>
                <w:numId w:val="4"/>
              </w:numPr>
            </w:pPr>
            <w:r>
              <w:t>Final report on the establishment of the monitoring programme, capturing the process, lessons learned, and recommendations for sustainability.</w:t>
            </w:r>
          </w:p>
          <w:p w14:paraId="7601458C">
            <w:pPr>
              <w:pStyle w:val="16"/>
              <w:numPr>
                <w:ilvl w:val="0"/>
                <w:numId w:val="4"/>
              </w:numPr>
              <w:rPr>
                <w:szCs w:val="22"/>
              </w:rPr>
            </w:pPr>
            <w:r>
              <w:rPr>
                <w:szCs w:val="20"/>
                <w:lang w:val="en-GB" w:eastAsia="ja-JP"/>
              </w:rPr>
              <w:t>Training programme on community-based monitoring systems</w:t>
            </w:r>
          </w:p>
          <w:p w14:paraId="29D5FEF3">
            <w:pPr>
              <w:pStyle w:val="16"/>
              <w:numPr>
                <w:ilvl w:val="0"/>
                <w:numId w:val="4"/>
              </w:numPr>
            </w:pPr>
            <w:r>
              <w:rPr>
                <w:szCs w:val="20"/>
                <w:lang w:val="en-GB" w:eastAsia="ja-JP"/>
              </w:rPr>
              <w:t>Report of training on community-based monitoring systems</w:t>
            </w:r>
          </w:p>
          <w:p w14:paraId="11A28A1F">
            <w:pPr>
              <w:pStyle w:val="16"/>
              <w:ind w:left="1440"/>
              <w:rPr>
                <w:rFonts w:eastAsia="Calibri"/>
              </w:rPr>
            </w:pPr>
          </w:p>
        </w:tc>
      </w:tr>
    </w:tbl>
    <w:p w14:paraId="50CD246E">
      <w:pPr>
        <w:pStyle w:val="34"/>
        <w:numPr>
          <w:ilvl w:val="0"/>
          <w:numId w:val="1"/>
        </w:numPr>
        <w:rPr>
          <w:b/>
          <w:bCs/>
        </w:rPr>
      </w:pPr>
      <w:r>
        <w:rPr>
          <w:b/>
          <w:bCs/>
        </w:rPr>
        <w:t>DELIVERABLES AND PAYMENT SCHEDULE</w:t>
      </w:r>
    </w:p>
    <w:tbl>
      <w:tblPr>
        <w:tblStyle w:val="19"/>
        <w:tblW w:w="1026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7804"/>
        <w:gridCol w:w="1886"/>
      </w:tblGrid>
      <w:tr w14:paraId="1E80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shd w:val="clear" w:color="auto" w:fill="BEBEBE" w:themeFill="background1" w:themeFillShade="BF"/>
          </w:tcPr>
          <w:p w14:paraId="68FB5E2F">
            <w:pPr>
              <w:spacing w:line="276" w:lineRule="auto"/>
              <w:jc w:val="both"/>
              <w:rPr>
                <w:rStyle w:val="17"/>
                <w:rFonts w:eastAsiaTheme="majorEastAsia"/>
              </w:rPr>
            </w:pPr>
            <w:r>
              <w:rPr>
                <w:rStyle w:val="17"/>
                <w:rFonts w:eastAsiaTheme="majorEastAsia"/>
              </w:rPr>
              <w:t>No.</w:t>
            </w:r>
          </w:p>
        </w:tc>
        <w:tc>
          <w:tcPr>
            <w:tcW w:w="7804" w:type="dxa"/>
            <w:shd w:val="clear" w:color="auto" w:fill="BEBEBE" w:themeFill="background1" w:themeFillShade="BF"/>
          </w:tcPr>
          <w:p w14:paraId="0E592332">
            <w:pPr>
              <w:spacing w:line="276" w:lineRule="auto"/>
              <w:jc w:val="both"/>
              <w:rPr>
                <w:rStyle w:val="17"/>
                <w:rFonts w:eastAsiaTheme="majorEastAsia"/>
              </w:rPr>
            </w:pPr>
            <w:r>
              <w:rPr>
                <w:rStyle w:val="17"/>
                <w:rFonts w:eastAsiaTheme="majorEastAsia"/>
              </w:rPr>
              <w:t>Output</w:t>
            </w:r>
          </w:p>
        </w:tc>
        <w:tc>
          <w:tcPr>
            <w:tcW w:w="1886" w:type="dxa"/>
            <w:shd w:val="clear" w:color="auto" w:fill="BEBEBE" w:themeFill="background1" w:themeFillShade="BF"/>
          </w:tcPr>
          <w:p w14:paraId="0CA7DAC8">
            <w:pPr>
              <w:spacing w:line="276" w:lineRule="auto"/>
              <w:jc w:val="both"/>
              <w:rPr>
                <w:rStyle w:val="17"/>
                <w:rFonts w:eastAsiaTheme="majorEastAsia"/>
              </w:rPr>
            </w:pPr>
            <w:r>
              <w:rPr>
                <w:rStyle w:val="17"/>
                <w:rFonts w:eastAsiaTheme="majorEastAsia"/>
              </w:rPr>
              <w:t>Payment Plan</w:t>
            </w:r>
          </w:p>
        </w:tc>
      </w:tr>
      <w:tr w14:paraId="5538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570" w:type="dxa"/>
          </w:tcPr>
          <w:p w14:paraId="51E4C3DE">
            <w:pPr>
              <w:spacing w:line="276" w:lineRule="auto"/>
              <w:jc w:val="both"/>
              <w:rPr>
                <w:rStyle w:val="17"/>
                <w:rFonts w:eastAsiaTheme="majorEastAsia"/>
                <w:b w:val="0"/>
                <w:bCs w:val="0"/>
              </w:rPr>
            </w:pPr>
            <w:r>
              <w:rPr>
                <w:rStyle w:val="17"/>
                <w:rFonts w:eastAsiaTheme="majorEastAsia"/>
              </w:rPr>
              <w:t>1.</w:t>
            </w:r>
          </w:p>
        </w:tc>
        <w:tc>
          <w:tcPr>
            <w:tcW w:w="7804" w:type="dxa"/>
          </w:tcPr>
          <w:p w14:paraId="27EABCB2">
            <w:pPr>
              <w:spacing w:line="276" w:lineRule="auto"/>
              <w:jc w:val="both"/>
              <w:rPr>
                <w:rStyle w:val="17"/>
                <w:rFonts w:eastAsiaTheme="majorEastAsia"/>
                <w:b w:val="0"/>
                <w:bCs w:val="0"/>
              </w:rPr>
            </w:pPr>
            <w:r>
              <w:t>Inception Report (detailing methodology, workplan, and stakeholder engagement approach</w:t>
            </w:r>
          </w:p>
          <w:tbl>
            <w:tblPr>
              <w:tblStyle w:val="12"/>
              <w:tblW w:w="0" w:type="auto"/>
              <w:tblCellSpacing w:w="15" w:type="dxa"/>
              <w:tblInd w:w="0" w:type="dxa"/>
              <w:tblLayout w:type="autofit"/>
              <w:tblCellMar>
                <w:top w:w="15" w:type="dxa"/>
                <w:left w:w="15" w:type="dxa"/>
                <w:bottom w:w="15" w:type="dxa"/>
                <w:right w:w="15" w:type="dxa"/>
              </w:tblCellMar>
            </w:tblPr>
            <w:tblGrid>
              <w:gridCol w:w="96"/>
            </w:tblGrid>
            <w:tr w14:paraId="3B7CD2F0">
              <w:tblPrEx>
                <w:tblCellMar>
                  <w:top w:w="15" w:type="dxa"/>
                  <w:left w:w="15" w:type="dxa"/>
                  <w:bottom w:w="15" w:type="dxa"/>
                  <w:right w:w="15" w:type="dxa"/>
                </w:tblCellMar>
              </w:tblPrEx>
              <w:trPr>
                <w:tblCellSpacing w:w="15" w:type="dxa"/>
              </w:trPr>
              <w:tc>
                <w:tcPr>
                  <w:tcW w:w="0" w:type="auto"/>
                  <w:vAlign w:val="center"/>
                </w:tcPr>
                <w:p w14:paraId="7355BE92"/>
              </w:tc>
            </w:tr>
          </w:tbl>
          <w:p w14:paraId="3EB50A3E">
            <w:pPr>
              <w:rPr>
                <w:vanish/>
              </w:rPr>
            </w:pPr>
          </w:p>
          <w:tbl>
            <w:tblPr>
              <w:tblStyle w:val="12"/>
              <w:tblW w:w="0" w:type="auto"/>
              <w:tblCellSpacing w:w="15" w:type="dxa"/>
              <w:tblInd w:w="0" w:type="dxa"/>
              <w:tblLayout w:type="autofit"/>
              <w:tblCellMar>
                <w:top w:w="15" w:type="dxa"/>
                <w:left w:w="15" w:type="dxa"/>
                <w:bottom w:w="15" w:type="dxa"/>
                <w:right w:w="15" w:type="dxa"/>
              </w:tblCellMar>
            </w:tblPr>
            <w:tblGrid>
              <w:gridCol w:w="7588"/>
            </w:tblGrid>
            <w:tr w14:paraId="44D30D51">
              <w:trPr>
                <w:tblCellSpacing w:w="15" w:type="dxa"/>
              </w:trPr>
              <w:tc>
                <w:tcPr>
                  <w:tcW w:w="0" w:type="auto"/>
                  <w:vAlign w:val="center"/>
                </w:tcPr>
                <w:p w14:paraId="4256CA2F">
                  <w:pPr>
                    <w:rPr>
                      <w:sz w:val="22"/>
                      <w:szCs w:val="22"/>
                    </w:rPr>
                  </w:pPr>
                  <w:r>
                    <w:rPr>
                      <w:sz w:val="22"/>
                      <w:szCs w:val="22"/>
                    </w:rPr>
                    <w:t xml:space="preserve">Submission and approval of: </w:t>
                  </w:r>
                  <w:r>
                    <w:rPr>
                      <w:sz w:val="22"/>
                      <w:szCs w:val="22"/>
                    </w:rPr>
                    <w:br w:type="textWrapping"/>
                  </w:r>
                  <w:r>
                    <w:rPr>
                      <w:sz w:val="22"/>
                      <w:szCs w:val="22"/>
                    </w:rPr>
                    <w:t>i. Baseline Assessment Report of selected coastal ecosystems</w:t>
                  </w:r>
                </w:p>
                <w:p w14:paraId="169748DD">
                  <w:r>
                    <w:rPr>
                      <w:sz w:val="20"/>
                      <w:szCs w:val="20"/>
                    </w:rPr>
                    <w:t>ii. D</w:t>
                  </w:r>
                  <w:r>
                    <w:rPr>
                      <w:sz w:val="22"/>
                      <w:szCs w:val="22"/>
                    </w:rPr>
                    <w:t>raft training programme (indicating a step-by-step approach on the use of the monitoring equipment)</w:t>
                  </w:r>
                  <w:r>
                    <w:rPr>
                      <w:sz w:val="20"/>
                      <w:szCs w:val="20"/>
                    </w:rPr>
                    <w:br w:type="textWrapping"/>
                  </w:r>
                </w:p>
              </w:tc>
            </w:tr>
          </w:tbl>
          <w:p w14:paraId="503AF14A">
            <w:pPr>
              <w:spacing w:line="276" w:lineRule="auto"/>
              <w:rPr>
                <w:rStyle w:val="17"/>
                <w:rFonts w:eastAsiaTheme="majorEastAsia"/>
                <w:b w:val="0"/>
                <w:bCs w:val="0"/>
              </w:rPr>
            </w:pPr>
          </w:p>
        </w:tc>
        <w:tc>
          <w:tcPr>
            <w:tcW w:w="1886" w:type="dxa"/>
          </w:tcPr>
          <w:p w14:paraId="00479554">
            <w:pPr>
              <w:spacing w:line="276" w:lineRule="auto"/>
              <w:jc w:val="both"/>
              <w:rPr>
                <w:rStyle w:val="17"/>
                <w:rFonts w:eastAsiaTheme="majorEastAsia"/>
                <w:b w:val="0"/>
                <w:bCs w:val="0"/>
              </w:rPr>
            </w:pPr>
            <w:r>
              <w:rPr>
                <w:rStyle w:val="17"/>
                <w:rFonts w:eastAsiaTheme="majorEastAsia"/>
                <w:b w:val="0"/>
                <w:bCs w:val="0"/>
              </w:rPr>
              <w:t>50%</w:t>
            </w:r>
          </w:p>
        </w:tc>
      </w:tr>
      <w:tr w14:paraId="2F3F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4970A7C6">
            <w:pPr>
              <w:spacing w:line="276" w:lineRule="auto"/>
              <w:jc w:val="both"/>
              <w:rPr>
                <w:rStyle w:val="17"/>
                <w:rFonts w:eastAsiaTheme="majorEastAsia"/>
                <w:b w:val="0"/>
                <w:bCs w:val="0"/>
              </w:rPr>
            </w:pPr>
            <w:r>
              <w:rPr>
                <w:rStyle w:val="17"/>
                <w:rFonts w:eastAsiaTheme="majorEastAsia"/>
              </w:rPr>
              <w:t>3.</w:t>
            </w:r>
          </w:p>
        </w:tc>
        <w:tc>
          <w:tcPr>
            <w:tcW w:w="7804" w:type="dxa"/>
          </w:tcPr>
          <w:p w14:paraId="01E12A67">
            <w:pPr>
              <w:spacing w:line="276" w:lineRule="auto"/>
              <w:jc w:val="both"/>
              <w:rPr>
                <w:rStyle w:val="17"/>
                <w:rFonts w:eastAsiaTheme="majorEastAsia"/>
                <w:b w:val="0"/>
                <w:bCs w:val="0"/>
              </w:rPr>
            </w:pPr>
            <w:r>
              <w:t>Upon establishment and verification of monitoring tools, data collection templates, and assignment of trained community monitors</w:t>
            </w:r>
          </w:p>
        </w:tc>
        <w:tc>
          <w:tcPr>
            <w:tcW w:w="1886" w:type="dxa"/>
          </w:tcPr>
          <w:p w14:paraId="3624723B">
            <w:pPr>
              <w:spacing w:line="276" w:lineRule="auto"/>
              <w:jc w:val="both"/>
              <w:rPr>
                <w:rStyle w:val="17"/>
                <w:rFonts w:eastAsiaTheme="majorEastAsia"/>
                <w:b w:val="0"/>
                <w:bCs w:val="0"/>
              </w:rPr>
            </w:pPr>
            <w:r>
              <w:rPr>
                <w:rStyle w:val="17"/>
                <w:rFonts w:eastAsiaTheme="majorEastAsia"/>
                <w:b w:val="0"/>
                <w:bCs w:val="0"/>
              </w:rPr>
              <w:t>20%</w:t>
            </w:r>
          </w:p>
        </w:tc>
      </w:tr>
      <w:tr w14:paraId="3B6A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23B58D38">
            <w:pPr>
              <w:spacing w:line="276" w:lineRule="auto"/>
              <w:jc w:val="both"/>
              <w:rPr>
                <w:rStyle w:val="17"/>
                <w:rFonts w:eastAsiaTheme="majorEastAsia"/>
                <w:b w:val="0"/>
                <w:bCs w:val="0"/>
              </w:rPr>
            </w:pPr>
            <w:r>
              <w:rPr>
                <w:rStyle w:val="17"/>
                <w:rFonts w:eastAsiaTheme="majorEastAsia"/>
              </w:rPr>
              <w:t>4.</w:t>
            </w:r>
          </w:p>
        </w:tc>
        <w:tc>
          <w:tcPr>
            <w:tcW w:w="7804" w:type="dxa"/>
          </w:tcPr>
          <w:p w14:paraId="06F75877">
            <w:pPr>
              <w:spacing w:line="276" w:lineRule="auto"/>
              <w:jc w:val="both"/>
              <w:rPr>
                <w:rStyle w:val="17"/>
                <w:rFonts w:eastAsiaTheme="majorEastAsia"/>
                <w:b w:val="0"/>
                <w:bCs w:val="0"/>
              </w:rPr>
            </w:pPr>
            <w:r>
              <w:t>Submission and approval of Training Report (with participant list, training materials, and evaluation)</w:t>
            </w:r>
          </w:p>
        </w:tc>
        <w:tc>
          <w:tcPr>
            <w:tcW w:w="1886" w:type="dxa"/>
          </w:tcPr>
          <w:p w14:paraId="5A098CC5">
            <w:pPr>
              <w:spacing w:line="276" w:lineRule="auto"/>
              <w:jc w:val="both"/>
              <w:rPr>
                <w:rStyle w:val="17"/>
                <w:rFonts w:eastAsiaTheme="majorEastAsia"/>
                <w:b w:val="0"/>
                <w:bCs w:val="0"/>
              </w:rPr>
            </w:pPr>
            <w:r>
              <w:rPr>
                <w:rStyle w:val="17"/>
                <w:rFonts w:eastAsiaTheme="majorEastAsia"/>
                <w:b w:val="0"/>
                <w:bCs w:val="0"/>
              </w:rPr>
              <w:t>15%</w:t>
            </w:r>
          </w:p>
        </w:tc>
      </w:tr>
      <w:tr w14:paraId="2B05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tcPr>
          <w:p w14:paraId="75A3D462">
            <w:pPr>
              <w:spacing w:line="276" w:lineRule="auto"/>
              <w:jc w:val="both"/>
              <w:rPr>
                <w:rStyle w:val="17"/>
                <w:rFonts w:eastAsiaTheme="majorEastAsia"/>
              </w:rPr>
            </w:pPr>
            <w:r>
              <w:rPr>
                <w:rStyle w:val="17"/>
                <w:rFonts w:eastAsiaTheme="majorEastAsia"/>
              </w:rPr>
              <w:t>5.</w:t>
            </w:r>
          </w:p>
        </w:tc>
        <w:tc>
          <w:tcPr>
            <w:tcW w:w="7804" w:type="dxa"/>
          </w:tcPr>
          <w:p w14:paraId="291797C8">
            <w:pPr>
              <w:spacing w:line="276" w:lineRule="auto"/>
              <w:jc w:val="both"/>
              <w:rPr>
                <w:rStyle w:val="17"/>
                <w:rFonts w:eastAsiaTheme="majorEastAsia"/>
              </w:rPr>
            </w:pPr>
            <w:r>
              <w:t>Submission and approval of Final Report on the establishment of the monitoring programme, including lessons learned and recommendations for sustainability</w:t>
            </w:r>
          </w:p>
        </w:tc>
        <w:tc>
          <w:tcPr>
            <w:tcW w:w="1886" w:type="dxa"/>
          </w:tcPr>
          <w:p w14:paraId="0926A7F4">
            <w:pPr>
              <w:spacing w:line="276" w:lineRule="auto"/>
              <w:jc w:val="both"/>
              <w:rPr>
                <w:rStyle w:val="17"/>
                <w:rFonts w:eastAsiaTheme="majorEastAsia"/>
                <w:b w:val="0"/>
                <w:bCs w:val="0"/>
              </w:rPr>
            </w:pPr>
            <w:r>
              <w:rPr>
                <w:rStyle w:val="17"/>
                <w:rFonts w:eastAsiaTheme="majorEastAsia"/>
                <w:b w:val="0"/>
                <w:bCs w:val="0"/>
              </w:rPr>
              <w:t>15%</w:t>
            </w:r>
          </w:p>
        </w:tc>
      </w:tr>
    </w:tbl>
    <w:p w14:paraId="1FAFECAF"/>
    <w:p w14:paraId="3B17A814">
      <w:pPr>
        <w:pStyle w:val="34"/>
        <w:numPr>
          <w:ilvl w:val="0"/>
          <w:numId w:val="1"/>
        </w:numPr>
        <w:rPr>
          <w:b/>
          <w:bCs/>
        </w:rPr>
      </w:pPr>
      <w:r>
        <w:rPr>
          <w:b/>
          <w:bCs/>
        </w:rPr>
        <w:t>QUALIFICATIONS AND EXPERIENCE</w:t>
      </w:r>
    </w:p>
    <w:tbl>
      <w:tblPr>
        <w:tblStyle w:val="19"/>
        <w:tblW w:w="1026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0"/>
      </w:tblGrid>
      <w:tr w14:paraId="72768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Pr>
          <w:p w14:paraId="1597CB14">
            <w:pPr>
              <w:pStyle w:val="16"/>
              <w:ind w:left="360"/>
              <w:rPr>
                <w:b/>
                <w:bCs/>
              </w:rPr>
            </w:pPr>
            <w:r>
              <w:rPr>
                <w:b/>
                <w:bCs/>
              </w:rPr>
              <w:t>Education/Experience</w:t>
            </w:r>
          </w:p>
          <w:p w14:paraId="7B568080">
            <w:pPr>
              <w:pStyle w:val="16"/>
              <w:jc w:val="both"/>
            </w:pPr>
            <w:r>
              <w:t>The consultant must hold a minimum of a Master’s degree in a relevant field, such as Environmental Science, Natural Resource Management, Environmental Geosciences, Coastal/Marine Ecology, Conservation Biology, or a related discipline. A PhD in any of the above fields will be considered an added advantage.</w:t>
            </w:r>
          </w:p>
          <w:p w14:paraId="408C9E38">
            <w:pPr>
              <w:pStyle w:val="16"/>
              <w:numPr>
                <w:ilvl w:val="0"/>
                <w:numId w:val="5"/>
              </w:numPr>
              <w:jc w:val="both"/>
            </w:pPr>
            <w:r>
              <w:t xml:space="preserve">The consultant must have at least </w:t>
            </w:r>
            <w:r>
              <w:rPr>
                <w:rFonts w:hint="default"/>
                <w:lang w:val="en-US"/>
              </w:rPr>
              <w:t>five</w:t>
            </w:r>
            <w:r>
              <w:t xml:space="preserve"> (</w:t>
            </w:r>
            <w:r>
              <w:rPr>
                <w:rFonts w:hint="default"/>
                <w:lang w:val="en-US"/>
              </w:rPr>
              <w:t>5</w:t>
            </w:r>
            <w:r>
              <w:t>) years of proven professional experience in coastal ecosystem monitoring, biodiversity, climate change adaptation, or monitoring of nature-based solutions, preferably within Sub-Saharan Africa or in a similar region of the world.</w:t>
            </w:r>
          </w:p>
          <w:p w14:paraId="6D9E9D96">
            <w:pPr>
              <w:pStyle w:val="16"/>
              <w:numPr>
                <w:ilvl w:val="0"/>
                <w:numId w:val="5"/>
              </w:numPr>
              <w:jc w:val="both"/>
            </w:pPr>
            <w:r>
              <w:rPr>
                <w:sz w:val="22"/>
                <w:szCs w:val="22"/>
              </w:rPr>
              <w:t>Demonstrated expertise in designing and implementing community-based monitoring frameworks, including developing indicators and data collection tools.</w:t>
            </w:r>
          </w:p>
          <w:p w14:paraId="79107C20">
            <w:pPr>
              <w:pStyle w:val="16"/>
              <w:numPr>
                <w:ilvl w:val="0"/>
                <w:numId w:val="5"/>
              </w:numPr>
              <w:jc w:val="both"/>
            </w:pPr>
            <w:r>
              <w:rPr>
                <w:sz w:val="22"/>
                <w:szCs w:val="22"/>
              </w:rPr>
              <w:t>Familiarity with coastal ecosystems (mangroves, wetlands, estuaries, and shoreline forests) in Sub-Saharan Africa. Prior experience working in Liberia will be an advantage.</w:t>
            </w:r>
          </w:p>
          <w:p w14:paraId="0876C28D">
            <w:pPr>
              <w:pStyle w:val="16"/>
              <w:numPr>
                <w:ilvl w:val="0"/>
                <w:numId w:val="5"/>
              </w:numPr>
              <w:jc w:val="both"/>
            </w:pPr>
            <w:r>
              <w:rPr>
                <w:sz w:val="22"/>
                <w:szCs w:val="22"/>
              </w:rPr>
              <w:t xml:space="preserve">Experience working with government institutions, development partners, and local communities in participatory monitoring and evaluation processes.Proven track record </w:t>
            </w:r>
            <w:r>
              <w:t>of</w:t>
            </w:r>
            <w:r>
              <w:rPr>
                <w:sz w:val="22"/>
                <w:szCs w:val="22"/>
              </w:rPr>
              <w:t xml:space="preserve"> building</w:t>
            </w:r>
            <w:r>
              <w:t xml:space="preserve"> capacity in the use of GPS, water quality monitoring equipment, river gauge, fish monitoring equipment, camera trap, etcviii. </w:t>
            </w:r>
          </w:p>
          <w:p w14:paraId="4F12567E">
            <w:pPr>
              <w:pStyle w:val="16"/>
              <w:numPr>
                <w:ilvl w:val="0"/>
                <w:numId w:val="5"/>
              </w:numPr>
              <w:jc w:val="both"/>
            </w:pPr>
            <w:r>
              <w:t>Strong analytical, communication, and reporting skills, with evidence of published reports or technical documents on ecosystem monitoring.</w:t>
            </w:r>
          </w:p>
          <w:p w14:paraId="0D8CED41">
            <w:pPr>
              <w:pStyle w:val="16"/>
              <w:numPr>
                <w:ilvl w:val="0"/>
                <w:numId w:val="5"/>
              </w:numPr>
              <w:jc w:val="both"/>
              <w:rPr>
                <w:rStyle w:val="17"/>
                <w:rFonts w:eastAsiaTheme="majorEastAsia"/>
              </w:rPr>
            </w:pPr>
            <w:r>
              <w:t>Ability to work across disciplines and engage with diverse stakeholders, including national agencies, local governments, civil society organizations, women, youth, and people with disabilities.Effective organizational and time management skills, with the ability to deliver high-quality outputs within agreed timelines.</w:t>
            </w:r>
          </w:p>
        </w:tc>
      </w:tr>
    </w:tbl>
    <w:p w14:paraId="478E322F">
      <w:pPr>
        <w:rPr>
          <w:b/>
          <w:bCs/>
        </w:rPr>
      </w:pPr>
    </w:p>
    <w:p w14:paraId="35281236">
      <w:pPr>
        <w:pStyle w:val="34"/>
        <w:numPr>
          <w:ilvl w:val="0"/>
          <w:numId w:val="1"/>
        </w:numPr>
        <w:rPr>
          <w:b/>
          <w:bCs/>
        </w:rPr>
      </w:pPr>
      <w:r>
        <w:rPr>
          <w:b/>
          <w:bCs/>
        </w:rPr>
        <w:t>CONTRACT &amp; REPORTING</w:t>
      </w:r>
    </w:p>
    <w:tbl>
      <w:tblPr>
        <w:tblStyle w:val="19"/>
        <w:tblW w:w="1026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0"/>
      </w:tblGrid>
      <w:tr w14:paraId="7F98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60" w:type="dxa"/>
          </w:tcPr>
          <w:p w14:paraId="5D4F72FD">
            <w:pPr>
              <w:pStyle w:val="16"/>
            </w:pPr>
            <w:r>
              <w:t>The consultant shall report directly to the Project Manager under the overall supervision of the Energy and Environment Program Coordinator of the Environmental Protection Agency (EPA). Regular meetings and progress updates will be required to ensure close coordination, knowledge sharing, and alignment with project objectives.</w:t>
            </w:r>
          </w:p>
          <w:p w14:paraId="4BFB37CA">
            <w:r>
              <w:t>The EPA reserves the right to terminate the contract should the consultant’s performance fall below agreed standards or fail to meet the project’s requirements.</w:t>
            </w:r>
          </w:p>
        </w:tc>
      </w:tr>
    </w:tbl>
    <w:p w14:paraId="09EDA5FA"/>
    <w:p w14:paraId="7D051B98"/>
    <w:p w14:paraId="480083C4">
      <w:pPr>
        <w:pStyle w:val="34"/>
        <w:numPr>
          <w:ilvl w:val="0"/>
          <w:numId w:val="1"/>
        </w:numPr>
        <w:rPr>
          <w:b/>
          <w:bCs/>
        </w:rPr>
      </w:pPr>
      <w:r>
        <w:rPr>
          <w:b/>
          <w:bCs/>
        </w:rPr>
        <w:t>SUBMISSION OF APPLICATION</w:t>
      </w:r>
    </w:p>
    <w:tbl>
      <w:tblPr>
        <w:tblStyle w:val="19"/>
        <w:tblW w:w="10260" w:type="dxa"/>
        <w:tblInd w:w="-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0"/>
      </w:tblGrid>
      <w:tr w14:paraId="22621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38" w:hRule="atLeast"/>
        </w:trPr>
        <w:tc>
          <w:tcPr>
            <w:tcW w:w="10260" w:type="dxa"/>
          </w:tcPr>
          <w:p w14:paraId="56CBBF42">
            <w:pPr>
              <w:pStyle w:val="16"/>
            </w:pPr>
            <w:r>
              <w:t xml:space="preserve">Interested </w:t>
            </w:r>
            <w:r>
              <w:rPr>
                <w:rFonts w:hint="default"/>
                <w:lang w:val="en-US"/>
              </w:rPr>
              <w:t>National</w:t>
            </w:r>
            <w:r>
              <w:t xml:space="preserve"> consultants are invited to submit the following application package electronically</w:t>
            </w:r>
            <w:r>
              <w:rPr>
                <w:rFonts w:hint="default"/>
                <w:lang w:val="en-US"/>
              </w:rPr>
              <w:t xml:space="preserve"> and by hard copy</w:t>
            </w:r>
            <w:r>
              <w:t>:</w:t>
            </w:r>
          </w:p>
          <w:p w14:paraId="617524A3">
            <w:pPr>
              <w:pStyle w:val="16"/>
              <w:numPr>
                <w:ilvl w:val="0"/>
                <w:numId w:val="6"/>
              </w:numPr>
            </w:pPr>
            <w:r>
              <w:t xml:space="preserve">A detailed </w:t>
            </w:r>
            <w:r>
              <w:rPr>
                <w:rFonts w:hint="default"/>
                <w:lang w:val="en-US"/>
              </w:rPr>
              <w:t>T</w:t>
            </w:r>
            <w:r>
              <w:rPr>
                <w:rStyle w:val="17"/>
                <w:rFonts w:eastAsiaTheme="majorEastAsia"/>
                <w:b w:val="0"/>
                <w:bCs w:val="0"/>
              </w:rPr>
              <w:t xml:space="preserve">echnical </w:t>
            </w:r>
            <w:r>
              <w:rPr>
                <w:rStyle w:val="17"/>
                <w:rFonts w:hint="default" w:eastAsiaTheme="majorEastAsia"/>
                <w:b w:val="0"/>
                <w:bCs w:val="0"/>
                <w:lang w:val="en-US"/>
              </w:rPr>
              <w:t>P</w:t>
            </w:r>
            <w:r>
              <w:rPr>
                <w:rStyle w:val="17"/>
                <w:rFonts w:eastAsiaTheme="majorEastAsia"/>
                <w:b w:val="0"/>
                <w:bCs w:val="0"/>
              </w:rPr>
              <w:t>roposal</w:t>
            </w:r>
            <w:r>
              <w:t xml:space="preserve"> outlining the consultant’s understanding of the assignment, implementation methodology, and work plan;</w:t>
            </w:r>
          </w:p>
          <w:p w14:paraId="660B5D00">
            <w:pPr>
              <w:pStyle w:val="16"/>
              <w:numPr>
                <w:ilvl w:val="0"/>
                <w:numId w:val="6"/>
              </w:numPr>
            </w:pPr>
            <w:r>
              <w:t xml:space="preserve">A </w:t>
            </w:r>
            <w:r>
              <w:rPr>
                <w:lang w:val="en-US"/>
              </w:rPr>
              <w:t>detailed</w:t>
            </w:r>
            <w:r>
              <w:rPr>
                <w:rStyle w:val="17"/>
                <w:rFonts w:eastAsiaTheme="majorEastAsia"/>
              </w:rPr>
              <w:t xml:space="preserve"> </w:t>
            </w:r>
            <w:r>
              <w:rPr>
                <w:rStyle w:val="17"/>
                <w:rFonts w:hint="default" w:eastAsiaTheme="majorEastAsia"/>
                <w:b w:val="0"/>
                <w:bCs w:val="0"/>
                <w:lang w:val="en-US"/>
              </w:rPr>
              <w:t>F</w:t>
            </w:r>
            <w:r>
              <w:rPr>
                <w:rStyle w:val="17"/>
                <w:rFonts w:eastAsiaTheme="majorEastAsia"/>
                <w:b w:val="0"/>
                <w:bCs w:val="0"/>
              </w:rPr>
              <w:t xml:space="preserve">inancial </w:t>
            </w:r>
            <w:r>
              <w:rPr>
                <w:rStyle w:val="17"/>
                <w:rFonts w:hint="default" w:eastAsiaTheme="majorEastAsia"/>
                <w:b w:val="0"/>
                <w:bCs w:val="0"/>
                <w:lang w:val="en-US"/>
              </w:rPr>
              <w:t>P</w:t>
            </w:r>
            <w:r>
              <w:rPr>
                <w:rStyle w:val="17"/>
                <w:rFonts w:eastAsiaTheme="majorEastAsia"/>
                <w:b w:val="0"/>
                <w:bCs w:val="0"/>
              </w:rPr>
              <w:t>roposal</w:t>
            </w:r>
            <w:r>
              <w:t xml:space="preserve"> indicating daily rates and total costs for delivering the assignment;</w:t>
            </w:r>
          </w:p>
          <w:p w14:paraId="5CFBB665">
            <w:pPr>
              <w:pStyle w:val="16"/>
              <w:numPr>
                <w:ilvl w:val="0"/>
                <w:numId w:val="6"/>
              </w:numPr>
            </w:pPr>
            <w:r>
              <w:t xml:space="preserve">A </w:t>
            </w:r>
            <w:r>
              <w:rPr>
                <w:rFonts w:hint="default"/>
                <w:lang w:val="en-US"/>
              </w:rPr>
              <w:t>o</w:t>
            </w:r>
            <w:r>
              <w:rPr>
                <w:rStyle w:val="17"/>
                <w:rFonts w:eastAsiaTheme="majorEastAsia"/>
                <w:b w:val="0"/>
                <w:bCs w:val="0"/>
              </w:rPr>
              <w:t>ne-page cover letter</w:t>
            </w:r>
            <w:r>
              <w:t>;</w:t>
            </w:r>
          </w:p>
          <w:p w14:paraId="3F912206">
            <w:pPr>
              <w:pStyle w:val="16"/>
              <w:numPr>
                <w:ilvl w:val="0"/>
                <w:numId w:val="6"/>
              </w:numPr>
            </w:pPr>
            <w:r>
              <w:t xml:space="preserve">An updated </w:t>
            </w:r>
            <w:r>
              <w:rPr>
                <w:rStyle w:val="17"/>
                <w:rFonts w:eastAsiaTheme="majorEastAsia"/>
                <w:b w:val="0"/>
                <w:bCs w:val="0"/>
              </w:rPr>
              <w:t>Curriculum Vitae (CV</w:t>
            </w:r>
            <w:r>
              <w:rPr>
                <w:rStyle w:val="17"/>
                <w:rFonts w:eastAsiaTheme="majorEastAsia"/>
              </w:rPr>
              <w:t>)</w:t>
            </w:r>
            <w:r>
              <w:t xml:space="preserve"> highlighting relevant qualifications and experience;</w:t>
            </w:r>
          </w:p>
          <w:p w14:paraId="3DD31825">
            <w:pPr>
              <w:pStyle w:val="16"/>
              <w:numPr>
                <w:ilvl w:val="0"/>
                <w:numId w:val="6"/>
              </w:numPr>
            </w:pPr>
            <w:r>
              <w:t xml:space="preserve">Copies of </w:t>
            </w:r>
            <w:r>
              <w:rPr>
                <w:rStyle w:val="17"/>
                <w:rFonts w:eastAsiaTheme="majorEastAsia"/>
                <w:b w:val="0"/>
                <w:bCs w:val="0"/>
              </w:rPr>
              <w:t>academic credentials</w:t>
            </w:r>
            <w:r>
              <w:t xml:space="preserve"> and professional certifications;</w:t>
            </w:r>
          </w:p>
          <w:p w14:paraId="665226B8">
            <w:pPr>
              <w:pStyle w:val="16"/>
              <w:numPr>
                <w:ilvl w:val="0"/>
                <w:numId w:val="6"/>
              </w:numPr>
            </w:pPr>
            <w:r>
              <w:t xml:space="preserve">Evidence of </w:t>
            </w:r>
            <w:r>
              <w:rPr>
                <w:rStyle w:val="17"/>
                <w:rFonts w:eastAsiaTheme="majorEastAsia"/>
                <w:b w:val="0"/>
                <w:bCs w:val="0"/>
              </w:rPr>
              <w:t>past performance</w:t>
            </w:r>
            <w:r>
              <w:t xml:space="preserve"> in similar assignments (sample reports, references, or contracts).</w:t>
            </w:r>
          </w:p>
          <w:p w14:paraId="0B5334AC">
            <w:pPr>
              <w:pStyle w:val="42"/>
              <w:jc w:val="both"/>
              <w:rPr>
                <w:rFonts w:ascii="Times New Roman" w:hAnsi="Times New Roman" w:eastAsia="Times New Roman" w:cs="Times New Roman"/>
                <w:sz w:val="24"/>
                <w:szCs w:val="24"/>
              </w:rPr>
            </w:pPr>
            <w:r>
              <w:t xml:space="preserve">All submissions must be sent </w:t>
            </w:r>
            <w:r>
              <w:rPr>
                <w:rStyle w:val="17"/>
                <w:rFonts w:eastAsiaTheme="majorEastAsia"/>
                <w:color w:val="FF3300"/>
              </w:rPr>
              <w:t>via email</w:t>
            </w:r>
            <w:r>
              <w:rPr>
                <w:rStyle w:val="17"/>
                <w:rFonts w:eastAsiaTheme="majorEastAsia"/>
              </w:rPr>
              <w:t xml:space="preserve"> </w:t>
            </w:r>
            <w:r>
              <w:rPr>
                <w:rFonts w:ascii="Times New Roman" w:hAnsi="Times New Roman" w:eastAsia="Times New Roman" w:cs="Times New Roman"/>
                <w:sz w:val="24"/>
                <w:szCs w:val="24"/>
              </w:rPr>
              <w:t xml:space="preserve">to the below address </w:t>
            </w:r>
            <w:r>
              <w:rPr>
                <w:rFonts w:hint="default" w:ascii="Times New Roman" w:hAnsi="Times New Roman" w:eastAsia="Times New Roman" w:cs="Times New Roman"/>
                <w:sz w:val="24"/>
                <w:szCs w:val="24"/>
                <w:lang w:val="en-US"/>
              </w:rPr>
              <w:t>and</w:t>
            </w:r>
            <w:r>
              <w:rPr>
                <w:rFonts w:ascii="Times New Roman" w:hAnsi="Times New Roman" w:eastAsia="Times New Roman" w:cs="Times New Roman"/>
                <w:sz w:val="24"/>
                <w:szCs w:val="24"/>
              </w:rPr>
              <w:t xml:space="preserve"> by email at </w:t>
            </w:r>
            <w:r>
              <w:fldChar w:fldCharType="begin"/>
            </w:r>
            <w:r>
              <w:instrText xml:space="preserve"> HYPERLINK "mailto:maldonakarway1@gmail.com" </w:instrText>
            </w:r>
            <w:r>
              <w:fldChar w:fldCharType="separate"/>
            </w:r>
            <w:r>
              <w:rPr>
                <w:rStyle w:val="15"/>
              </w:rPr>
              <w:t>maldonakarway1</w:t>
            </w:r>
            <w:r>
              <w:rPr>
                <w:rStyle w:val="15"/>
                <w:rFonts w:ascii="Times New Roman" w:hAnsi="Times New Roman" w:cs="Times New Roman"/>
                <w:sz w:val="24"/>
                <w:szCs w:val="24"/>
              </w:rPr>
              <w:t>@gmail.com</w:t>
            </w:r>
            <w:r>
              <w:rPr>
                <w:rStyle w:val="15"/>
                <w:rFonts w:ascii="Times New Roman" w:hAnsi="Times New Roman" w:cs="Times New Roman"/>
                <w:sz w:val="24"/>
                <w:szCs w:val="24"/>
              </w:rPr>
              <w:fldChar w:fldCharType="end"/>
            </w: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 xml:space="preserve">and CC: </w:t>
            </w:r>
            <w:r>
              <w:rPr>
                <w:rFonts w:hint="default" w:ascii="Times New Roman" w:hAnsi="Times New Roman" w:eastAsia="Times New Roman" w:cs="Times New Roman"/>
                <w:sz w:val="24"/>
                <w:szCs w:val="24"/>
                <w:lang w:val="en-US"/>
              </w:rPr>
              <w:fldChar w:fldCharType="begin"/>
            </w:r>
            <w:r>
              <w:rPr>
                <w:rFonts w:hint="default" w:ascii="Times New Roman" w:hAnsi="Times New Roman" w:eastAsia="Times New Roman" w:cs="Times New Roman"/>
                <w:sz w:val="24"/>
                <w:szCs w:val="24"/>
                <w:lang w:val="en-US"/>
              </w:rPr>
              <w:instrText xml:space="preserve"> HYPERLINK "mailto:princessblango@gmail.com" </w:instrText>
            </w:r>
            <w:r>
              <w:rPr>
                <w:rFonts w:hint="default" w:ascii="Times New Roman" w:hAnsi="Times New Roman" w:eastAsia="Times New Roman" w:cs="Times New Roman"/>
                <w:sz w:val="24"/>
                <w:szCs w:val="24"/>
                <w:lang w:val="en-US"/>
              </w:rPr>
              <w:fldChar w:fldCharType="separate"/>
            </w:r>
            <w:r>
              <w:rPr>
                <w:rStyle w:val="15"/>
                <w:rFonts w:hint="default" w:ascii="Times New Roman" w:hAnsi="Times New Roman" w:eastAsia="Times New Roman" w:cs="Times New Roman"/>
                <w:sz w:val="24"/>
                <w:szCs w:val="24"/>
                <w:lang w:val="en-US"/>
              </w:rPr>
              <w:t>princessblango@gmail.com</w:t>
            </w:r>
            <w:r>
              <w:rPr>
                <w:rFonts w:hint="default" w:ascii="Times New Roman" w:hAnsi="Times New Roman" w:eastAsia="Times New Roman" w:cs="Times New Roman"/>
                <w:sz w:val="24"/>
                <w:szCs w:val="24"/>
                <w:lang w:val="en-US"/>
              </w:rPr>
              <w:fldChar w:fldCharType="end"/>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indicating their suitability for the post.</w:t>
            </w:r>
          </w:p>
          <w:p w14:paraId="41622A7A">
            <w:pPr>
              <w:pStyle w:val="16"/>
              <w:rPr>
                <w:rFonts w:hint="default" w:ascii="Times New Roman" w:hAnsi="Times New Roman" w:eastAsia="Times New Roman" w:cs="Times New Roman"/>
                <w:sz w:val="24"/>
                <w:szCs w:val="24"/>
                <w:lang w:val="en-US"/>
              </w:rPr>
            </w:pPr>
            <w:r>
              <w:rPr>
                <w:rFonts w:hint="default"/>
                <w:sz w:val="22"/>
                <w:szCs w:val="22"/>
                <w:lang w:val="en-US"/>
              </w:rPr>
              <w:t>Please indicate</w:t>
            </w:r>
            <w:r>
              <w:rPr>
                <w:rStyle w:val="17"/>
                <w:rFonts w:eastAsiaTheme="majorEastAsia"/>
                <w:sz w:val="22"/>
                <w:szCs w:val="22"/>
              </w:rPr>
              <w:t xml:space="preserve"> </w:t>
            </w:r>
            <w:r>
              <w:rPr>
                <w:rStyle w:val="17"/>
                <w:rFonts w:hint="default" w:eastAsiaTheme="majorEastAsia"/>
                <w:sz w:val="22"/>
                <w:szCs w:val="22"/>
                <w:lang w:val="en-US"/>
              </w:rPr>
              <w:t>“N</w:t>
            </w:r>
            <w:r>
              <w:rPr>
                <w:rStyle w:val="17"/>
                <w:rFonts w:eastAsiaTheme="majorEastAsia"/>
                <w:sz w:val="22"/>
                <w:szCs w:val="22"/>
              </w:rPr>
              <w:t>ational Consultant</w:t>
            </w:r>
            <w:r>
              <w:rPr>
                <w:rStyle w:val="17"/>
                <w:rFonts w:hint="default" w:eastAsiaTheme="majorEastAsia"/>
                <w:sz w:val="22"/>
                <w:szCs w:val="22"/>
                <w:lang w:val="en-US"/>
              </w:rPr>
              <w:t xml:space="preserve"> for</w:t>
            </w:r>
            <w:r>
              <w:rPr>
                <w:rStyle w:val="17"/>
                <w:rFonts w:eastAsiaTheme="majorEastAsia"/>
                <w:sz w:val="22"/>
                <w:szCs w:val="22"/>
              </w:rPr>
              <w:t xml:space="preserve"> Establishment of a Community-Based Coastal Ecosystem Monitoring Programme”</w:t>
            </w:r>
            <w:r>
              <w:rPr>
                <w:rStyle w:val="17"/>
                <w:rFonts w:hint="default" w:eastAsiaTheme="majorEastAsia"/>
                <w:b w:val="0"/>
                <w:bCs w:val="0"/>
                <w:sz w:val="22"/>
                <w:szCs w:val="22"/>
                <w:lang w:val="en-US"/>
              </w:rPr>
              <w:t xml:space="preserve"> </w:t>
            </w:r>
            <w:r>
              <w:rPr>
                <w:rFonts w:ascii="Times New Roman" w:hAnsi="Times New Roman" w:cs="Times New Roman"/>
                <w:b w:val="0"/>
                <w:bCs w:val="0"/>
                <w:sz w:val="24"/>
                <w:szCs w:val="24"/>
              </w:rPr>
              <w:t xml:space="preserve">in the subject line. </w:t>
            </w:r>
          </w:p>
          <w:p w14:paraId="512677A6">
            <w:pPr>
              <w:pStyle w:val="42"/>
              <w:jc w:val="both"/>
              <w:rPr>
                <w:rFonts w:hint="default" w:ascii="Times New Roman" w:hAnsi="Times New Roman" w:eastAsia="Times New Roman" w:cs="Times New Roman"/>
                <w:sz w:val="24"/>
                <w:szCs w:val="24"/>
                <w:lang w:val="en-US"/>
              </w:rPr>
            </w:pPr>
          </w:p>
          <w:p w14:paraId="6850DD9C">
            <w:pPr>
              <w:widowControl w:val="0"/>
              <w:spacing w:after="0" w:line="27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ATTENTION:</w:t>
            </w:r>
          </w:p>
          <w:p w14:paraId="1805FF4D">
            <w:pPr>
              <w:widowControl w:val="0"/>
              <w:spacing w:after="0" w:line="276" w:lineRule="auto"/>
              <w:jc w:val="both"/>
              <w:rPr>
                <w:rFonts w:ascii="Times New Roman" w:hAnsi="Times New Roman" w:eastAsia="Times New Roman" w:cs="Times New Roman"/>
                <w:b/>
                <w:sz w:val="24"/>
                <w:szCs w:val="24"/>
              </w:rPr>
            </w:pPr>
          </w:p>
          <w:p w14:paraId="0152AB01">
            <w:pPr>
              <w:widowControl w:val="0"/>
              <w:spacing w:after="0" w:line="27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Maldona </w:t>
            </w:r>
            <w:r>
              <w:rPr>
                <w:rFonts w:ascii="Times New Roman" w:hAnsi="Times New Roman" w:cs="Times New Roman"/>
                <w:b/>
                <w:bCs/>
                <w:sz w:val="24"/>
                <w:szCs w:val="24"/>
              </w:rPr>
              <w:t>K. Karway</w:t>
            </w:r>
          </w:p>
          <w:p w14:paraId="5B76E61B">
            <w:pPr>
              <w:widowControl w:val="0"/>
              <w:spacing w:after="0" w:line="27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Procurement Off</w:t>
            </w:r>
            <w:r>
              <w:rPr>
                <w:rFonts w:ascii="Times New Roman" w:hAnsi="Times New Roman" w:cs="Times New Roman"/>
                <w:b/>
                <w:bCs/>
                <w:sz w:val="24"/>
                <w:szCs w:val="24"/>
                <w:lang w:val="en-GB"/>
              </w:rPr>
              <w:t>i</w:t>
            </w:r>
            <w:r>
              <w:rPr>
                <w:rFonts w:ascii="Times New Roman" w:hAnsi="Times New Roman" w:eastAsia="Times New Roman" w:cs="Times New Roman"/>
                <w:b/>
                <w:sz w:val="24"/>
                <w:szCs w:val="24"/>
              </w:rPr>
              <w:t>cer</w:t>
            </w:r>
          </w:p>
          <w:p w14:paraId="7B66821B">
            <w:pPr>
              <w:widowControl w:val="0"/>
              <w:spacing w:after="0" w:line="27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Enhancing the Res</w:t>
            </w:r>
            <w:r>
              <w:rPr>
                <w:rFonts w:ascii="Times New Roman" w:hAnsi="Times New Roman" w:cs="Times New Roman"/>
                <w:b/>
                <w:sz w:val="24"/>
                <w:szCs w:val="24"/>
                <w:lang w:val="en-GB"/>
              </w:rPr>
              <w:t>ilience of Vulnerable Coastal Communities in Sinoe (ERVCCS)</w:t>
            </w:r>
          </w:p>
          <w:p w14:paraId="269A4B7C">
            <w:pPr>
              <w:widowControl w:val="0"/>
              <w:spacing w:after="0" w:line="27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Environment Protection Agency (EPA)</w:t>
            </w:r>
          </w:p>
          <w:p w14:paraId="5227629C">
            <w:pPr>
              <w:widowControl w:val="0"/>
              <w:spacing w:after="0" w:line="27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302-A Bright Building</w:t>
            </w:r>
          </w:p>
          <w:p w14:paraId="084E8953">
            <w:pPr>
              <w:widowControl w:val="0"/>
              <w:spacing w:after="0" w:line="27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Old CID-Road, Mamba Point</w:t>
            </w:r>
          </w:p>
          <w:p w14:paraId="47F6EE3F">
            <w:pPr>
              <w:widowControl w:val="0"/>
              <w:spacing w:after="0" w:line="276"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1000 Monrovia, 10 Liberia</w:t>
            </w:r>
          </w:p>
          <w:p w14:paraId="63CC0DF3">
            <w:pPr>
              <w:widowControl w:val="0"/>
              <w:spacing w:after="0" w:line="276" w:lineRule="auto"/>
              <w:jc w:val="both"/>
              <w:rPr>
                <w:rFonts w:ascii="Times New Roman" w:hAnsi="Times New Roman" w:eastAsia="Times New Roman" w:cs="Times New Roman"/>
                <w:b/>
                <w:sz w:val="24"/>
                <w:szCs w:val="24"/>
              </w:rPr>
            </w:pPr>
          </w:p>
          <w:p w14:paraId="264019D1">
            <w:pPr>
              <w:widowControl w:val="0"/>
              <w:spacing w:after="0" w:line="276" w:lineRule="auto"/>
              <w:jc w:val="both"/>
              <w:rPr>
                <w:rFonts w:ascii="Times New Roman" w:hAnsi="Times New Roman" w:eastAsia="Times New Roman" w:cs="Times New Roman"/>
                <w:b/>
                <w:sz w:val="24"/>
                <w:szCs w:val="24"/>
              </w:rPr>
            </w:pPr>
            <w:r>
              <w:rPr>
                <w:rFonts w:ascii="Times New Roman" w:hAnsi="Times New Roman" w:cs="Times New Roman"/>
                <w:b/>
                <w:bCs/>
                <w:color w:val="FF0000"/>
                <w:sz w:val="24"/>
                <w:szCs w:val="24"/>
              </w:rPr>
              <w:t>*Female candidates are highly encouraged to apply!</w:t>
            </w:r>
          </w:p>
          <w:p w14:paraId="042B280B">
            <w:pPr>
              <w:widowControl w:val="0"/>
              <w:spacing w:after="200" w:line="276"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closing date for submission of applications is</w:t>
            </w:r>
            <w:r>
              <w:rPr>
                <w:rFonts w:ascii="Times New Roman" w:hAnsi="Times New Roman" w:eastAsia="Times New Roman" w:cs="Times New Roman"/>
                <w:color w:val="FF0000"/>
                <w:sz w:val="24"/>
                <w:szCs w:val="24"/>
              </w:rPr>
              <w:t xml:space="preserve"> 4:00 PM on </w:t>
            </w:r>
            <w:r>
              <w:rPr>
                <w:rFonts w:hint="default" w:ascii="Times New Roman" w:hAnsi="Times New Roman" w:eastAsia="Times New Roman" w:cs="Times New Roman"/>
                <w:color w:val="FF0000"/>
                <w:sz w:val="24"/>
                <w:szCs w:val="24"/>
                <w:lang w:val="en-US"/>
              </w:rPr>
              <w:t>October</w:t>
            </w:r>
            <w:r>
              <w:rPr>
                <w:rFonts w:ascii="Times New Roman" w:hAnsi="Times New Roman" w:eastAsia="Times New Roman" w:cs="Times New Roman"/>
                <w:color w:val="FF0000"/>
                <w:sz w:val="24"/>
                <w:szCs w:val="24"/>
              </w:rPr>
              <w:t xml:space="preserve"> </w:t>
            </w:r>
            <w:r>
              <w:rPr>
                <w:rFonts w:hint="default" w:ascii="Times New Roman" w:hAnsi="Times New Roman" w:eastAsia="Times New Roman" w:cs="Times New Roman"/>
                <w:color w:val="FF0000"/>
                <w:sz w:val="24"/>
                <w:szCs w:val="24"/>
                <w:lang w:val="en-US"/>
              </w:rPr>
              <w:t>8</w:t>
            </w:r>
            <w:r>
              <w:rPr>
                <w:rFonts w:ascii="Times New Roman" w:hAnsi="Times New Roman" w:eastAsia="Times New Roman" w:cs="Times New Roman"/>
                <w:color w:val="FF0000"/>
                <w:sz w:val="24"/>
                <w:szCs w:val="24"/>
              </w:rPr>
              <w:t>, 2025</w:t>
            </w:r>
            <w:r>
              <w:rPr>
                <w:rFonts w:ascii="Times New Roman" w:hAnsi="Times New Roman" w:eastAsia="Times New Roman" w:cs="Times New Roman"/>
                <w:sz w:val="24"/>
                <w:szCs w:val="24"/>
              </w:rPr>
              <w:t xml:space="preserve">. Any submission received after this deadline will not be considered. Only applicants who meet the requirements as outlined in the terms of reference will be considered for evaluation. </w:t>
            </w:r>
            <w:bookmarkStart w:id="1" w:name="_GoBack"/>
            <w:bookmarkEnd w:id="1"/>
          </w:p>
          <w:p w14:paraId="69454B2E">
            <w:r>
              <w:rPr>
                <w:rFonts w:ascii="Times New Roman" w:hAnsi="Times New Roman" w:eastAsia="Times New Roman" w:cs="Times New Roman"/>
                <w:sz w:val="24"/>
                <w:szCs w:val="24"/>
              </w:rPr>
              <w:t xml:space="preserve">NOTE: This information is also posted on </w:t>
            </w:r>
            <w:r>
              <w:fldChar w:fldCharType="begin"/>
            </w:r>
            <w:r>
              <w:instrText xml:space="preserve"> HYPERLINK "https://www.emansion.gov.lr/" \h </w:instrText>
            </w:r>
            <w:r>
              <w:fldChar w:fldCharType="separate"/>
            </w:r>
            <w:r>
              <w:rPr>
                <w:rFonts w:ascii="Times New Roman" w:hAnsi="Times New Roman" w:eastAsia="Times New Roman" w:cs="Times New Roman"/>
                <w:color w:val="00B0F0"/>
                <w:sz w:val="24"/>
                <w:szCs w:val="24"/>
                <w:u w:val="single"/>
              </w:rPr>
              <w:t>https://www.emansion.gov.lr/</w:t>
            </w:r>
            <w:r>
              <w:rPr>
                <w:rFonts w:ascii="Times New Roman" w:hAnsi="Times New Roman" w:eastAsia="Times New Roman" w:cs="Times New Roman"/>
                <w:color w:val="00B0F0"/>
                <w:sz w:val="24"/>
                <w:szCs w:val="24"/>
                <w:u w:val="single"/>
              </w:rPr>
              <w:fldChar w:fldCharType="end"/>
            </w:r>
            <w:r>
              <w:rPr>
                <w:rFonts w:ascii="Times New Roman" w:hAnsi="Times New Roman" w:eastAsia="Times New Roman" w:cs="Times New Roman"/>
                <w:color w:val="00B0F0"/>
                <w:sz w:val="24"/>
                <w:szCs w:val="24"/>
              </w:rPr>
              <w:t xml:space="preserve">, </w:t>
            </w:r>
            <w:r>
              <w:fldChar w:fldCharType="begin"/>
            </w:r>
            <w:r>
              <w:instrText xml:space="preserve"> HYPERLINK "https://www.epa.gov.lr/" \h </w:instrText>
            </w:r>
            <w:r>
              <w:fldChar w:fldCharType="separate"/>
            </w:r>
            <w:r>
              <w:rPr>
                <w:rFonts w:ascii="Times New Roman" w:hAnsi="Times New Roman" w:eastAsia="Times New Roman" w:cs="Times New Roman"/>
                <w:color w:val="00B0F0"/>
                <w:sz w:val="24"/>
                <w:szCs w:val="24"/>
                <w:u w:val="single"/>
              </w:rPr>
              <w:t>https://www.epa.gov.lr/</w:t>
            </w:r>
            <w:r>
              <w:rPr>
                <w:rFonts w:ascii="Times New Roman" w:hAnsi="Times New Roman" w:eastAsia="Times New Roman" w:cs="Times New Roman"/>
                <w:color w:val="00B0F0"/>
                <w:sz w:val="24"/>
                <w:szCs w:val="24"/>
                <w:u w:val="single"/>
              </w:rPr>
              <w:fldChar w:fldCharType="end"/>
            </w:r>
            <w:r>
              <w:rPr>
                <w:rFonts w:ascii="Times New Roman" w:hAnsi="Times New Roman" w:eastAsia="Times New Roman" w:cs="Times New Roman"/>
                <w:color w:val="00B0F0"/>
                <w:sz w:val="24"/>
                <w:szCs w:val="24"/>
              </w:rPr>
              <w:t xml:space="preserve">, </w:t>
            </w:r>
            <w:r>
              <w:fldChar w:fldCharType="begin"/>
            </w:r>
            <w:r>
              <w:instrText xml:space="preserve"> HYPERLINK "https://www.undp.org/" \h </w:instrText>
            </w:r>
            <w:r>
              <w:fldChar w:fldCharType="separate"/>
            </w:r>
            <w:r>
              <w:rPr>
                <w:rFonts w:ascii="Times New Roman" w:hAnsi="Times New Roman" w:eastAsia="Times New Roman" w:cs="Times New Roman"/>
                <w:color w:val="00B0F0"/>
                <w:sz w:val="24"/>
                <w:szCs w:val="24"/>
                <w:u w:val="single"/>
              </w:rPr>
              <w:t>https://www.undp.org/</w:t>
            </w:r>
            <w:r>
              <w:rPr>
                <w:rFonts w:ascii="Times New Roman" w:hAnsi="Times New Roman" w:eastAsia="Times New Roman" w:cs="Times New Roman"/>
                <w:color w:val="00B0F0"/>
                <w:sz w:val="24"/>
                <w:szCs w:val="24"/>
                <w:u w:val="single"/>
              </w:rPr>
              <w:fldChar w:fldCharType="end"/>
            </w:r>
            <w:r>
              <w:rPr>
                <w:rFonts w:ascii="Times New Roman" w:hAnsi="Times New Roman" w:eastAsia="Times New Roman" w:cs="Times New Roman"/>
                <w:color w:val="00B0F0"/>
                <w:sz w:val="24"/>
                <w:szCs w:val="24"/>
              </w:rPr>
              <w:t xml:space="preserve">, </w:t>
            </w:r>
            <w:r>
              <w:fldChar w:fldCharType="begin"/>
            </w:r>
            <w:r>
              <w:instrText xml:space="preserve"> HYPERLINK "http://www.mme.gov.lr" </w:instrText>
            </w:r>
            <w:r>
              <w:fldChar w:fldCharType="separate"/>
            </w:r>
            <w:r>
              <w:rPr>
                <w:rStyle w:val="15"/>
                <w:rFonts w:ascii="Times New Roman" w:hAnsi="Times New Roman" w:cs="Times New Roman"/>
                <w:color w:val="00B0F0"/>
                <w:sz w:val="24"/>
                <w:szCs w:val="24"/>
              </w:rPr>
              <w:t>www.mme.gov.lr</w:t>
            </w:r>
            <w:r>
              <w:rPr>
                <w:rStyle w:val="15"/>
                <w:rFonts w:ascii="Times New Roman" w:hAnsi="Times New Roman" w:cs="Times New Roman"/>
                <w:color w:val="00B0F0"/>
                <w:sz w:val="24"/>
                <w:szCs w:val="24"/>
              </w:rPr>
              <w:fldChar w:fldCharType="end"/>
            </w:r>
            <w:r>
              <w:rPr>
                <w:rFonts w:ascii="Times New Roman" w:hAnsi="Times New Roman" w:eastAsia="Times New Roman" w:cs="Times New Roman"/>
                <w:color w:val="00B0F0"/>
                <w:sz w:val="24"/>
                <w:szCs w:val="24"/>
              </w:rPr>
              <w:t xml:space="preserve"> </w:t>
            </w:r>
            <w:r>
              <w:rPr>
                <w:rFonts w:ascii="Times New Roman" w:hAnsi="Times New Roman" w:eastAsia="Times New Roman" w:cs="Times New Roman"/>
                <w:sz w:val="24"/>
                <w:szCs w:val="24"/>
              </w:rPr>
              <w:t>and can be found in local dailies.</w:t>
            </w:r>
            <w:r>
              <w:rPr>
                <w:rFonts w:eastAsia="Calibri"/>
              </w:rPr>
              <w:t xml:space="preserve"> </w:t>
            </w:r>
          </w:p>
        </w:tc>
      </w:tr>
      <w:bookmarkEnd w:id="0"/>
    </w:tbl>
    <w:p w14:paraId="276AD7D0"/>
    <w:p w14:paraId="6A6D1ED4"/>
    <w:sectPr>
      <w:headerReference r:id="rId5" w:type="default"/>
      <w:footerReference r:id="rId6" w:type="default"/>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Black">
    <w:panose1 w:val="020B0A04020102020204"/>
    <w:charset w:val="00"/>
    <w:family w:val="swiss"/>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5A646">
    <w:pPr>
      <w:pStyle w:val="13"/>
    </w:pPr>
  </w:p>
  <w:p w14:paraId="54A87829">
    <w:pPr>
      <w:pStyle w:val="13"/>
    </w:pPr>
  </w:p>
  <w:p w14:paraId="5E16A797">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2E018">
    <w:pPr>
      <w:jc w:val="center"/>
      <w:rPr>
        <w:b/>
        <w:color w:val="000000"/>
        <w:spacing w:val="-5"/>
        <w:lang w:val="en-ZA"/>
      </w:rPr>
    </w:pPr>
    <w:r>
      <w:rPr>
        <w14:ligatures w14:val="standardContextual"/>
      </w:rPr>
      <w:drawing>
        <wp:anchor distT="0" distB="0" distL="114300" distR="114300" simplePos="0" relativeHeight="251660288" behindDoc="0" locked="0" layoutInCell="1" allowOverlap="1">
          <wp:simplePos x="0" y="0"/>
          <wp:positionH relativeFrom="column">
            <wp:posOffset>5575300</wp:posOffset>
          </wp:positionH>
          <wp:positionV relativeFrom="paragraph">
            <wp:posOffset>7620</wp:posOffset>
          </wp:positionV>
          <wp:extent cx="939800" cy="691515"/>
          <wp:effectExtent l="0" t="0" r="0" b="0"/>
          <wp:wrapNone/>
          <wp:docPr id="193825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2595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39800" cy="691515"/>
                  </a:xfrm>
                  <a:prstGeom prst="rect">
                    <a:avLst/>
                  </a:prstGeom>
                </pic:spPr>
              </pic:pic>
            </a:graphicData>
          </a:graphic>
        </wp:anchor>
      </w:drawing>
    </w:r>
    <w:r>
      <w:rPr>
        <w14:ligatures w14:val="standardContextual"/>
      </w:rPr>
      <w:drawing>
        <wp:anchor distT="0" distB="0" distL="114300" distR="114300" simplePos="0" relativeHeight="251659264" behindDoc="0" locked="0" layoutInCell="1" allowOverlap="1">
          <wp:simplePos x="0" y="0"/>
          <wp:positionH relativeFrom="column">
            <wp:posOffset>-171450</wp:posOffset>
          </wp:positionH>
          <wp:positionV relativeFrom="paragraph">
            <wp:posOffset>7620</wp:posOffset>
          </wp:positionV>
          <wp:extent cx="946150" cy="797560"/>
          <wp:effectExtent l="0" t="0" r="6350" b="2540"/>
          <wp:wrapNone/>
          <wp:docPr id="267769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769657"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46150" cy="797560"/>
                  </a:xfrm>
                  <a:prstGeom prst="rect">
                    <a:avLst/>
                  </a:prstGeom>
                </pic:spPr>
              </pic:pic>
            </a:graphicData>
          </a:graphic>
        </wp:anchor>
      </w:drawing>
    </w:r>
    <w:r>
      <w:rPr>
        <w:b/>
        <w:color w:val="000000"/>
        <w:spacing w:val="-5"/>
        <w:lang w:val="en-ZA"/>
      </w:rPr>
      <w:t>REPUBLIC OF LIBERIA</w:t>
    </w:r>
  </w:p>
  <w:p w14:paraId="00CBF8ED">
    <w:pPr>
      <w:tabs>
        <w:tab w:val="left" w:pos="1040"/>
        <w:tab w:val="center" w:pos="4513"/>
      </w:tabs>
      <w:rPr>
        <w:rFonts w:ascii="Arial Black" w:hAnsi="Arial Black"/>
        <w:b/>
        <w:bCs/>
        <w:color w:val="000000"/>
        <w:spacing w:val="-5"/>
        <w:lang w:val="en-ZA"/>
      </w:rPr>
    </w:pPr>
    <w:r>
      <w:rPr>
        <w:b/>
        <w:bCs/>
        <w:color w:val="000000"/>
        <w:spacing w:val="-5"/>
        <w:lang w:val="en-ZA"/>
      </w:rPr>
      <w:tab/>
    </w:r>
    <w:r>
      <w:rPr>
        <w:b/>
        <w:bCs/>
        <w:color w:val="000000"/>
        <w:spacing w:val="-5"/>
        <w:lang w:val="en-ZA"/>
      </w:rPr>
      <w:tab/>
    </w:r>
    <w:r>
      <w:rPr>
        <w:b/>
        <w:bCs/>
        <w:color w:val="000000"/>
        <w:spacing w:val="-5"/>
        <w:lang w:val="en-ZA"/>
      </w:rPr>
      <w:t>ENVIRONMENTAL PROTECTION AGENCY (EPA)</w:t>
    </w:r>
  </w:p>
  <w:p w14:paraId="2C19477C">
    <w:pPr>
      <w:jc w:val="center"/>
      <w:rPr>
        <w:b/>
        <w:bCs/>
        <w:color w:val="000000"/>
        <w:spacing w:val="-5"/>
        <w:lang w:val="en-ZA"/>
      </w:rPr>
    </w:pPr>
    <w:r>
      <w:rPr>
        <w:b/>
        <w:bCs/>
        <w:color w:val="000000"/>
        <w:spacing w:val="-5"/>
        <w:lang w:val="en-ZA"/>
      </w:rPr>
      <w:t>1000 Monrovia, 10 Liberia</w:t>
    </w:r>
  </w:p>
  <w:p w14:paraId="60D81A0A">
    <w:pPr>
      <w:pBdr>
        <w:bottom w:val="single" w:color="auto" w:sz="12" w:space="1"/>
      </w:pBdr>
      <w:jc w:val="center"/>
      <w:rPr>
        <w:b/>
        <w:bCs/>
        <w:color w:val="000000"/>
        <w:spacing w:val="-5"/>
        <w:lang w:val="en-ZA"/>
      </w:rPr>
    </w:pPr>
    <w:r>
      <w:rPr>
        <w:b/>
        <w:bCs/>
        <w:color w:val="000000"/>
        <w:spacing w:val="-5"/>
        <w:lang w:val="en-ZA"/>
      </w:rPr>
      <w:t>P.O. Box 4024</w:t>
    </w:r>
  </w:p>
  <w:p w14:paraId="5D6BED9A">
    <w:pPr>
      <w:pStyle w:val="34"/>
      <w:ind w:left="1080"/>
      <w:rPr>
        <w:b/>
        <w:bCs/>
      </w:rPr>
    </w:pPr>
  </w:p>
  <w:p w14:paraId="108707C3">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CA76DD"/>
    <w:multiLevelType w:val="multilevel"/>
    <w:tmpl w:val="2CCA76DD"/>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7C80528"/>
    <w:multiLevelType w:val="multilevel"/>
    <w:tmpl w:val="47C8052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5B756591"/>
    <w:multiLevelType w:val="multilevel"/>
    <w:tmpl w:val="5B7565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E645FA5"/>
    <w:multiLevelType w:val="multilevel"/>
    <w:tmpl w:val="5E645F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39E3890"/>
    <w:multiLevelType w:val="multilevel"/>
    <w:tmpl w:val="739E3890"/>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75465D96"/>
    <w:multiLevelType w:val="multilevel"/>
    <w:tmpl w:val="75465D9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C5B"/>
    <w:rsid w:val="00014F59"/>
    <w:rsid w:val="00233573"/>
    <w:rsid w:val="002770E3"/>
    <w:rsid w:val="003D23E8"/>
    <w:rsid w:val="00442A3B"/>
    <w:rsid w:val="004A1E74"/>
    <w:rsid w:val="004D31E0"/>
    <w:rsid w:val="00565CD2"/>
    <w:rsid w:val="005F5DCD"/>
    <w:rsid w:val="007327B6"/>
    <w:rsid w:val="00746AFA"/>
    <w:rsid w:val="00805E67"/>
    <w:rsid w:val="00815DFD"/>
    <w:rsid w:val="0086778C"/>
    <w:rsid w:val="00882E68"/>
    <w:rsid w:val="008C2C5B"/>
    <w:rsid w:val="008E1BF6"/>
    <w:rsid w:val="00907508"/>
    <w:rsid w:val="00A75571"/>
    <w:rsid w:val="00AF45C9"/>
    <w:rsid w:val="00B21F67"/>
    <w:rsid w:val="00BD50B5"/>
    <w:rsid w:val="00BF6971"/>
    <w:rsid w:val="00D055DC"/>
    <w:rsid w:val="00D47738"/>
    <w:rsid w:val="00D6596B"/>
    <w:rsid w:val="00EC10D5"/>
    <w:rsid w:val="00EF3E68"/>
    <w:rsid w:val="00FD19BC"/>
    <w:rsid w:val="034E4BA1"/>
    <w:rsid w:val="365E7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3"/>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4"/>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5"/>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6"/>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link w:val="41"/>
    <w:unhideWhenUsed/>
    <w:qFormat/>
    <w:uiPriority w:val="99"/>
    <w:pPr>
      <w:tabs>
        <w:tab w:val="center" w:pos="4680"/>
        <w:tab w:val="right" w:pos="9360"/>
      </w:tabs>
    </w:pPr>
  </w:style>
  <w:style w:type="paragraph" w:styleId="14">
    <w:name w:val="header"/>
    <w:basedOn w:val="1"/>
    <w:link w:val="40"/>
    <w:unhideWhenUsed/>
    <w:qFormat/>
    <w:uiPriority w:val="99"/>
    <w:pPr>
      <w:tabs>
        <w:tab w:val="center" w:pos="4680"/>
        <w:tab w:val="right" w:pos="9360"/>
      </w:tabs>
    </w:pPr>
  </w:style>
  <w:style w:type="character" w:styleId="15">
    <w:name w:val="Hyperlink"/>
    <w:basedOn w:val="11"/>
    <w:unhideWhenUsed/>
    <w:qFormat/>
    <w:uiPriority w:val="99"/>
    <w:rPr>
      <w:color w:val="0563C1" w:themeColor="hyperlink"/>
      <w:u w:val="single"/>
      <w14:textFill>
        <w14:solidFill>
          <w14:schemeClr w14:val="hlink"/>
        </w14:solidFill>
      </w14:textFill>
    </w:rPr>
  </w:style>
  <w:style w:type="paragraph" w:styleId="16">
    <w:name w:val="Normal (Web)"/>
    <w:basedOn w:val="1"/>
    <w:unhideWhenUsed/>
    <w:qFormat/>
    <w:uiPriority w:val="99"/>
    <w:pPr>
      <w:spacing w:before="100" w:beforeAutospacing="1" w:after="100" w:afterAutospacing="1"/>
    </w:pPr>
  </w:style>
  <w:style w:type="character" w:styleId="17">
    <w:name w:val="Strong"/>
    <w:basedOn w:val="11"/>
    <w:qFormat/>
    <w:uiPriority w:val="22"/>
    <w:rPr>
      <w:b/>
      <w:bCs/>
    </w:rPr>
  </w:style>
  <w:style w:type="paragraph" w:styleId="18">
    <w:name w:val="Subtitle"/>
    <w:basedOn w:val="1"/>
    <w:next w:val="1"/>
    <w:link w:val="3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9">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0">
    <w:name w:val="Title"/>
    <w:basedOn w:val="1"/>
    <w:next w:val="1"/>
    <w:link w:val="30"/>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21">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22">
    <w:name w:val="Heading 2 Char"/>
    <w:basedOn w:val="11"/>
    <w:link w:val="3"/>
    <w:qFormat/>
    <w:uiPriority w:val="9"/>
    <w:rPr>
      <w:rFonts w:asciiTheme="majorHAnsi" w:hAnsiTheme="majorHAnsi" w:eastAsiaTheme="majorEastAsia" w:cstheme="majorBidi"/>
      <w:color w:val="2F5597" w:themeColor="accent1" w:themeShade="BF"/>
      <w:sz w:val="32"/>
      <w:szCs w:val="32"/>
    </w:rPr>
  </w:style>
  <w:style w:type="character" w:customStyle="1" w:styleId="23">
    <w:name w:val="Heading 3 Char"/>
    <w:basedOn w:val="11"/>
    <w:link w:val="4"/>
    <w:qFormat/>
    <w:uiPriority w:val="9"/>
    <w:rPr>
      <w:rFonts w:eastAsiaTheme="majorEastAsia" w:cstheme="majorBidi"/>
      <w:color w:val="2F5597" w:themeColor="accent1" w:themeShade="BF"/>
      <w:sz w:val="28"/>
      <w:szCs w:val="28"/>
    </w:rPr>
  </w:style>
  <w:style w:type="character" w:customStyle="1" w:styleId="24">
    <w:name w:val="Heading 4 Char"/>
    <w:basedOn w:val="11"/>
    <w:link w:val="5"/>
    <w:semiHidden/>
    <w:qFormat/>
    <w:uiPriority w:val="9"/>
    <w:rPr>
      <w:rFonts w:eastAsiaTheme="majorEastAsia" w:cstheme="majorBidi"/>
      <w:i/>
      <w:iCs/>
      <w:color w:val="2F5597" w:themeColor="accent1" w:themeShade="BF"/>
    </w:rPr>
  </w:style>
  <w:style w:type="character" w:customStyle="1" w:styleId="25">
    <w:name w:val="Heading 5 Char"/>
    <w:basedOn w:val="11"/>
    <w:link w:val="6"/>
    <w:semiHidden/>
    <w:qFormat/>
    <w:uiPriority w:val="9"/>
    <w:rPr>
      <w:rFonts w:eastAsiaTheme="majorEastAsia" w:cstheme="majorBidi"/>
      <w:color w:val="2F5597" w:themeColor="accent1" w:themeShade="BF"/>
    </w:rPr>
  </w:style>
  <w:style w:type="character" w:customStyle="1" w:styleId="26">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Title Char"/>
    <w:basedOn w:val="11"/>
    <w:link w:val="20"/>
    <w:qFormat/>
    <w:uiPriority w:val="10"/>
    <w:rPr>
      <w:rFonts w:asciiTheme="majorHAnsi" w:hAnsiTheme="majorHAnsi" w:eastAsiaTheme="majorEastAsia" w:cstheme="majorBidi"/>
      <w:spacing w:val="-10"/>
      <w:kern w:val="28"/>
      <w:sz w:val="56"/>
      <w:szCs w:val="56"/>
    </w:rPr>
  </w:style>
  <w:style w:type="character" w:customStyle="1" w:styleId="31">
    <w:name w:val="Subtitle Char"/>
    <w:basedOn w:val="11"/>
    <w:link w:val="1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Quote Char"/>
    <w:basedOn w:val="11"/>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link w:val="39"/>
    <w:qFormat/>
    <w:uiPriority w:val="34"/>
    <w:pPr>
      <w:ind w:left="720"/>
      <w:contextualSpacing/>
    </w:pPr>
  </w:style>
  <w:style w:type="character" w:customStyle="1" w:styleId="35">
    <w:name w:val="Intense Emphasis"/>
    <w:basedOn w:val="11"/>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Intense Quote Char"/>
    <w:basedOn w:val="11"/>
    <w:link w:val="36"/>
    <w:qFormat/>
    <w:uiPriority w:val="30"/>
    <w:rPr>
      <w:i/>
      <w:iCs/>
      <w:color w:val="2F5597" w:themeColor="accent1" w:themeShade="BF"/>
    </w:rPr>
  </w:style>
  <w:style w:type="character" w:customStyle="1" w:styleId="38">
    <w:name w:val="Intense Reference"/>
    <w:basedOn w:val="11"/>
    <w:qFormat/>
    <w:uiPriority w:val="32"/>
    <w:rPr>
      <w:b/>
      <w:bCs/>
      <w:smallCaps/>
      <w:color w:val="2F5597" w:themeColor="accent1" w:themeShade="BF"/>
      <w:spacing w:val="5"/>
    </w:rPr>
  </w:style>
  <w:style w:type="character" w:customStyle="1" w:styleId="39">
    <w:name w:val="List Paragraph Char"/>
    <w:link w:val="34"/>
    <w:qFormat/>
    <w:uiPriority w:val="34"/>
  </w:style>
  <w:style w:type="character" w:customStyle="1" w:styleId="40">
    <w:name w:val="Header Char"/>
    <w:basedOn w:val="11"/>
    <w:link w:val="14"/>
    <w:qFormat/>
    <w:uiPriority w:val="99"/>
    <w:rPr>
      <w:rFonts w:ascii="Times New Roman" w:hAnsi="Times New Roman" w:eastAsia="Times New Roman" w:cs="Times New Roman"/>
      <w:sz w:val="24"/>
      <w:szCs w:val="24"/>
    </w:rPr>
  </w:style>
  <w:style w:type="character" w:customStyle="1" w:styleId="41">
    <w:name w:val="Footer Char"/>
    <w:basedOn w:val="11"/>
    <w:link w:val="13"/>
    <w:qFormat/>
    <w:uiPriority w:val="99"/>
    <w:rPr>
      <w:rFonts w:ascii="Times New Roman" w:hAnsi="Times New Roman" w:eastAsia="Times New Roman" w:cs="Times New Roman"/>
      <w:sz w:val="24"/>
      <w:szCs w:val="24"/>
    </w:rPr>
  </w:style>
  <w:style w:type="paragraph" w:styleId="42">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1800</Words>
  <Characters>11828</Characters>
  <Lines>251</Lines>
  <Paragraphs>131</Paragraphs>
  <TotalTime>3</TotalTime>
  <ScaleCrop>false</ScaleCrop>
  <LinksUpToDate>false</LinksUpToDate>
  <CharactersWithSpaces>13497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2025-09-08T15:18:00Z</dcterms:created>
  <dc:creator>Anthony Nimely Chea, Jr.</dc:creator>
  <cp:lastModifiedBy>Maldona K. Karway</cp:lastModifiedBy>
  <dcterms:modified xsi:type="dcterms:W3CDTF">2025-09-18T18:49:42Z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c9523cc6-800e-467f-af75-b8903c437ec0</vt:lpwstr>
  </property>
  <property fmtid="{D5CDD505-2E9C-101B-9397-08002B2CF9AE}" pid="3" name="KSOProductBuildVer">
    <vt:lpwstr>1033-12.2.0.21931</vt:lpwstr>
  </property>
  <property fmtid="{D5CDD505-2E9C-101B-9397-08002B2CF9AE}" pid="4" name="ICV">
    <vt:lpwstr>0C29FB98B3DF4EF4AB21E678F8031A76_12</vt:lpwstr>
  </property>
</Properties>
</file>