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F1261">
      <w:pPr>
        <w:rPr>
          <w:b/>
          <w:bCs/>
        </w:rPr>
      </w:pPr>
      <w:bookmarkStart w:id="0" w:name="_Hlk207616389"/>
      <w:r>
        <w:rPr>
          <w:rFonts w:eastAsiaTheme="majorEastAsia"/>
        </w:rPr>
        <mc:AlternateContent>
          <mc:Choice Requires="wps">
            <w:drawing>
              <wp:anchor distT="0" distB="0" distL="114300" distR="114300" simplePos="0" relativeHeight="251661312" behindDoc="0" locked="0" layoutInCell="1" allowOverlap="1">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43B67304">
                            <w:r>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9948.1pt;margin-top:-79965.35pt;height:23.4pt;width:389.95pt;z-index:251661312;mso-width-relative:page;mso-height-relative:page;" filled="f" stroked="f" coordsize="21600,21600" o:gfxdata="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&#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II4DOQAAAAZAQAADwAAAAAAAAABACAAAAAiAAAA&#10;ZHJzL2Rvd25yZXYueG1sUEsBAhQAFAAAAAgAh07iQDR6z0g0AgAAbgQAAA4AAAAAAAAAAQAgAAAA&#10;MwEAAGRycy9lMm9Eb2MueG1sUEsFBgAAAAAGAAYAWQEAANkFAAAAAA==&#10;">
                <v:fill on="f" focussize="0,0"/>
                <v:stroke on="f" weight="0.5pt"/>
                <v:imagedata o:title=""/>
                <o:lock v:ext="edit" aspectratio="f"/>
                <v:textbox>
                  <w:txbxContent>
                    <w:p w14:paraId="43B67304">
                      <w:r>
                        <w:rPr>
                          <w:rFonts w:eastAsia="Calibri"/>
                        </w:rPr>
                        <w:t>Strengthening Institutional Capacity for Climate Change Adaptation Planning</w:t>
                      </w:r>
                    </w:p>
                  </w:txbxContent>
                </v:textbox>
              </v:shape>
            </w:pict>
          </mc:Fallback>
        </mc:AlternateContent>
      </w:r>
    </w:p>
    <w:p w14:paraId="63CA60D9">
      <w:pPr>
        <w:pStyle w:val="38"/>
        <w:numPr>
          <w:ilvl w:val="0"/>
          <w:numId w:val="1"/>
        </w:numPr>
        <w:rPr>
          <w:b/>
          <w:bCs/>
        </w:rPr>
      </w:pPr>
      <w:r>
        <w:rPr>
          <w:b/>
          <w:bCs/>
        </w:rPr>
        <w:t>CONSULTANCY SUMMARY</w:t>
      </w:r>
    </w:p>
    <w:tbl>
      <w:tblPr>
        <w:tblStyle w:val="23"/>
        <w:tblW w:w="1035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3778"/>
        <w:gridCol w:w="2882"/>
        <w:gridCol w:w="2430"/>
      </w:tblGrid>
      <w:tr w14:paraId="70C0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38" w:type="dxa"/>
            <w:gridSpan w:val="2"/>
            <w:vAlign w:val="center"/>
          </w:tcPr>
          <w:p w14:paraId="7FD23B2C">
            <w:pPr>
              <w:rPr>
                <w:sz w:val="22"/>
                <w:szCs w:val="22"/>
              </w:rPr>
            </w:pPr>
            <w:r>
              <w:rPr>
                <w:sz w:val="22"/>
                <w:szCs w:val="22"/>
              </w:rPr>
              <w:t xml:space="preserve">Job Title </w:t>
            </w:r>
          </w:p>
        </w:tc>
        <w:tc>
          <w:tcPr>
            <w:tcW w:w="5312" w:type="dxa"/>
            <w:gridSpan w:val="2"/>
            <w:vAlign w:val="center"/>
          </w:tcPr>
          <w:p w14:paraId="3F3509A9">
            <w:pPr>
              <w:rPr>
                <w:sz w:val="22"/>
                <w:szCs w:val="22"/>
              </w:rPr>
            </w:pPr>
            <w:r>
              <w:rPr>
                <w:sz w:val="22"/>
                <w:szCs w:val="22"/>
              </w:rPr>
              <w:t>International Community Monitoring Expert</w:t>
            </w:r>
          </w:p>
        </w:tc>
      </w:tr>
      <w:tr w14:paraId="6944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8" w:type="dxa"/>
            <w:gridSpan w:val="2"/>
            <w:vAlign w:val="center"/>
          </w:tcPr>
          <w:p w14:paraId="20A947F5">
            <w:pPr>
              <w:rPr>
                <w:sz w:val="22"/>
                <w:szCs w:val="22"/>
              </w:rPr>
            </w:pPr>
            <w:r>
              <w:rPr>
                <w:sz w:val="22"/>
                <w:szCs w:val="22"/>
              </w:rPr>
              <w:t>Division/Department</w:t>
            </w:r>
          </w:p>
        </w:tc>
        <w:tc>
          <w:tcPr>
            <w:tcW w:w="5312" w:type="dxa"/>
            <w:gridSpan w:val="2"/>
            <w:vAlign w:val="center"/>
          </w:tcPr>
          <w:p w14:paraId="193A3662">
            <w:pPr>
              <w:rPr>
                <w:sz w:val="22"/>
                <w:szCs w:val="22"/>
              </w:rPr>
            </w:pPr>
            <w:r>
              <w:rPr>
                <w:sz w:val="22"/>
                <w:szCs w:val="22"/>
              </w:rPr>
              <w:t>Project: Enhancing the Resilience of Vulnerable Coastal Communities in Sinoe County, Liberia (ERVCCS)</w:t>
            </w:r>
          </w:p>
        </w:tc>
      </w:tr>
      <w:tr w14:paraId="68C8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8" w:type="dxa"/>
            <w:gridSpan w:val="2"/>
            <w:vAlign w:val="center"/>
          </w:tcPr>
          <w:p w14:paraId="17165024">
            <w:pPr>
              <w:rPr>
                <w:sz w:val="22"/>
                <w:szCs w:val="22"/>
              </w:rPr>
            </w:pPr>
            <w:r>
              <w:rPr>
                <w:sz w:val="22"/>
                <w:szCs w:val="22"/>
              </w:rPr>
              <w:t>Program/Project Number/</w:t>
            </w:r>
            <w:r>
              <w:rPr>
                <w:b/>
                <w:sz w:val="22"/>
                <w:szCs w:val="22"/>
                <w:lang w:val="en-GB"/>
              </w:rPr>
              <w:t xml:space="preserve"> GEF Project ID number</w:t>
            </w:r>
          </w:p>
        </w:tc>
        <w:tc>
          <w:tcPr>
            <w:tcW w:w="5312" w:type="dxa"/>
            <w:gridSpan w:val="2"/>
            <w:vAlign w:val="center"/>
          </w:tcPr>
          <w:p w14:paraId="4E0D216F">
            <w:pPr>
              <w:rPr>
                <w:sz w:val="22"/>
                <w:szCs w:val="22"/>
              </w:rPr>
            </w:pPr>
            <w:r>
              <w:rPr>
                <w:sz w:val="22"/>
                <w:szCs w:val="22"/>
                <w:lang w:val="en-GB"/>
              </w:rPr>
              <w:t>10376</w:t>
            </w:r>
          </w:p>
        </w:tc>
      </w:tr>
      <w:tr w14:paraId="5773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8" w:type="dxa"/>
            <w:gridSpan w:val="2"/>
            <w:vAlign w:val="center"/>
          </w:tcPr>
          <w:p w14:paraId="70EAEEC0">
            <w:pPr>
              <w:rPr>
                <w:sz w:val="22"/>
                <w:szCs w:val="22"/>
              </w:rPr>
            </w:pPr>
            <w:r>
              <w:rPr>
                <w:rFonts w:eastAsia="Calibri"/>
                <w:sz w:val="22"/>
                <w:szCs w:val="22"/>
              </w:rPr>
              <w:t>Activity Result</w:t>
            </w:r>
          </w:p>
        </w:tc>
        <w:tc>
          <w:tcPr>
            <w:tcW w:w="5312" w:type="dxa"/>
            <w:gridSpan w:val="2"/>
            <w:vAlign w:val="center"/>
          </w:tcPr>
          <w:p w14:paraId="66CFB7E8">
            <w:pPr>
              <w:pStyle w:val="38"/>
              <w:numPr>
                <w:ilvl w:val="0"/>
                <w:numId w:val="2"/>
              </w:numPr>
              <w:rPr>
                <w:sz w:val="22"/>
                <w:szCs w:val="22"/>
              </w:rPr>
            </w:pPr>
            <w:r>
              <w:rPr>
                <w:sz w:val="22"/>
                <w:szCs w:val="22"/>
                <w:lang w:val="en-GB"/>
              </w:rPr>
              <w:t xml:space="preserve">Design and implement training manuals  for community-based monitoring of the ecosystem and biodiversity </w:t>
            </w:r>
          </w:p>
          <w:p w14:paraId="0EEFCB5D">
            <w:pPr>
              <w:pStyle w:val="20"/>
              <w:numPr>
                <w:ilvl w:val="0"/>
                <w:numId w:val="2"/>
              </w:numPr>
              <w:rPr>
                <w:sz w:val="22"/>
                <w:szCs w:val="22"/>
              </w:rPr>
            </w:pPr>
            <w:r>
              <w:rPr>
                <w:sz w:val="22"/>
                <w:szCs w:val="22"/>
              </w:rPr>
              <w:t>Baseline assessment report of the selected coastal ecosystems, highlighting priority indicators and gaps for monitoring.</w:t>
            </w:r>
          </w:p>
          <w:p w14:paraId="20595959">
            <w:pPr>
              <w:pStyle w:val="20"/>
              <w:numPr>
                <w:ilvl w:val="0"/>
                <w:numId w:val="2"/>
              </w:numPr>
              <w:rPr>
                <w:sz w:val="22"/>
                <w:szCs w:val="22"/>
              </w:rPr>
            </w:pPr>
            <w:r>
              <w:rPr>
                <w:sz w:val="22"/>
                <w:szCs w:val="22"/>
              </w:rPr>
              <w:t>Training report for community monitors, with participant lists, training materials, and key outcomes of the capacity-building sessions.</w:t>
            </w:r>
          </w:p>
          <w:p w14:paraId="1EC56567">
            <w:pPr>
              <w:pStyle w:val="20"/>
              <w:numPr>
                <w:ilvl w:val="0"/>
                <w:numId w:val="2"/>
              </w:numPr>
              <w:rPr>
                <w:sz w:val="22"/>
                <w:szCs w:val="22"/>
              </w:rPr>
            </w:pPr>
            <w:r>
              <w:rPr>
                <w:sz w:val="22"/>
                <w:szCs w:val="22"/>
              </w:rPr>
              <w:t>Monitoring tools and templates (data collection forms, reporting formats, and guidelines) will be developed and handed over to community monitors and relevant authorities.</w:t>
            </w:r>
          </w:p>
          <w:p w14:paraId="727FF69F">
            <w:pPr>
              <w:pStyle w:val="20"/>
              <w:numPr>
                <w:ilvl w:val="0"/>
                <w:numId w:val="2"/>
              </w:numPr>
              <w:rPr>
                <w:sz w:val="22"/>
                <w:szCs w:val="22"/>
              </w:rPr>
            </w:pPr>
            <w:r>
              <w:rPr>
                <w:sz w:val="22"/>
                <w:szCs w:val="20"/>
                <w:lang w:val="en-GB" w:eastAsia="ja-JP"/>
              </w:rPr>
              <w:t>Training programme on community-based monitoring systems</w:t>
            </w:r>
          </w:p>
          <w:p w14:paraId="7FD6331B">
            <w:pPr>
              <w:pStyle w:val="20"/>
              <w:numPr>
                <w:ilvl w:val="0"/>
                <w:numId w:val="2"/>
              </w:numPr>
              <w:rPr>
                <w:sz w:val="22"/>
                <w:szCs w:val="22"/>
              </w:rPr>
            </w:pPr>
            <w:r>
              <w:rPr>
                <w:sz w:val="22"/>
                <w:szCs w:val="20"/>
                <w:lang w:val="en-GB" w:eastAsia="ja-JP"/>
              </w:rPr>
              <w:t>Report of training on community-based monitoring systems</w:t>
            </w:r>
          </w:p>
        </w:tc>
      </w:tr>
      <w:tr w14:paraId="6C49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8" w:type="dxa"/>
            <w:gridSpan w:val="2"/>
            <w:vAlign w:val="center"/>
          </w:tcPr>
          <w:p w14:paraId="09E6D44E">
            <w:pPr>
              <w:rPr>
                <w:sz w:val="22"/>
                <w:szCs w:val="22"/>
              </w:rPr>
            </w:pPr>
            <w:r>
              <w:rPr>
                <w:rFonts w:eastAsia="Calibri"/>
                <w:sz w:val="22"/>
                <w:szCs w:val="22"/>
              </w:rPr>
              <w:t>Assignment</w:t>
            </w:r>
          </w:p>
        </w:tc>
        <w:tc>
          <w:tcPr>
            <w:tcW w:w="5312" w:type="dxa"/>
            <w:gridSpan w:val="2"/>
            <w:vAlign w:val="center"/>
          </w:tcPr>
          <w:p w14:paraId="581F75F8">
            <w:pPr>
              <w:jc w:val="both"/>
              <w:rPr>
                <w:rFonts w:eastAsia="SimSun"/>
                <w:sz w:val="22"/>
                <w:szCs w:val="22"/>
                <w:lang w:val="en-GB"/>
              </w:rPr>
            </w:pPr>
            <w:r>
              <w:rPr>
                <w:rFonts w:eastAsia="SimSun"/>
                <w:sz w:val="22"/>
                <w:szCs w:val="22"/>
                <w:lang w:val="en-GB"/>
              </w:rPr>
              <w:t>Design and implement community-based monitoring training programmes for the monitoring of ecosystem services and biodiversity</w:t>
            </w:r>
          </w:p>
          <w:p w14:paraId="776B5933">
            <w:pPr>
              <w:rPr>
                <w:sz w:val="22"/>
                <w:szCs w:val="22"/>
              </w:rPr>
            </w:pPr>
          </w:p>
        </w:tc>
      </w:tr>
      <w:tr w14:paraId="198D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8" w:type="dxa"/>
            <w:gridSpan w:val="2"/>
            <w:vAlign w:val="center"/>
          </w:tcPr>
          <w:p w14:paraId="695AF694">
            <w:pPr>
              <w:rPr>
                <w:rFonts w:eastAsia="Calibri"/>
                <w:sz w:val="22"/>
                <w:szCs w:val="22"/>
              </w:rPr>
            </w:pPr>
            <w:r>
              <w:rPr>
                <w:sz w:val="22"/>
                <w:szCs w:val="22"/>
              </w:rPr>
              <w:t>Location</w:t>
            </w:r>
          </w:p>
        </w:tc>
        <w:tc>
          <w:tcPr>
            <w:tcW w:w="5312" w:type="dxa"/>
            <w:gridSpan w:val="2"/>
            <w:vAlign w:val="center"/>
          </w:tcPr>
          <w:p w14:paraId="26129AF4">
            <w:pPr>
              <w:rPr>
                <w:sz w:val="22"/>
                <w:szCs w:val="22"/>
              </w:rPr>
            </w:pPr>
            <w:r>
              <w:rPr>
                <w:sz w:val="22"/>
                <w:szCs w:val="22"/>
              </w:rPr>
              <w:t xml:space="preserve">Nanakru, Bafu Bay, Tounata, Poungbor, Seebeh and Downtown Mississippi, </w:t>
            </w:r>
          </w:p>
          <w:p w14:paraId="61B28B11">
            <w:pPr>
              <w:rPr>
                <w:sz w:val="22"/>
                <w:szCs w:val="22"/>
              </w:rPr>
            </w:pPr>
            <w:r>
              <w:rPr>
                <w:sz w:val="22"/>
                <w:szCs w:val="22"/>
              </w:rPr>
              <w:t>Greenville, Sinoe County</w:t>
            </w:r>
          </w:p>
        </w:tc>
      </w:tr>
      <w:tr w14:paraId="5ADB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71593E7">
            <w:pPr>
              <w:rPr>
                <w:sz w:val="22"/>
                <w:szCs w:val="22"/>
              </w:rPr>
            </w:pPr>
            <w:r>
              <w:rPr>
                <w:sz w:val="22"/>
                <w:szCs w:val="22"/>
              </w:rPr>
              <w:t>Reports to</w:t>
            </w:r>
          </w:p>
        </w:tc>
        <w:tc>
          <w:tcPr>
            <w:tcW w:w="3778" w:type="dxa"/>
            <w:vAlign w:val="center"/>
          </w:tcPr>
          <w:p w14:paraId="11D7F504">
            <w:pPr>
              <w:rPr>
                <w:sz w:val="22"/>
                <w:szCs w:val="22"/>
              </w:rPr>
            </w:pPr>
            <w:r>
              <w:rPr>
                <w:sz w:val="22"/>
                <w:szCs w:val="22"/>
              </w:rPr>
              <w:t xml:space="preserve">ERVCCS Project Manager </w:t>
            </w:r>
            <w:r>
              <w:rPr>
                <w:rFonts w:hint="default"/>
                <w:sz w:val="22"/>
                <w:szCs w:val="22"/>
                <w:lang w:val="en-US"/>
              </w:rPr>
              <w:t xml:space="preserve">who is </w:t>
            </w:r>
            <w:r>
              <w:rPr>
                <w:sz w:val="22"/>
                <w:szCs w:val="22"/>
              </w:rPr>
              <w:t>under the supervision of the Energy &amp; Environment (E&amp;E) Coordinator</w:t>
            </w:r>
          </w:p>
        </w:tc>
        <w:tc>
          <w:tcPr>
            <w:tcW w:w="2882" w:type="dxa"/>
            <w:vAlign w:val="center"/>
          </w:tcPr>
          <w:p w14:paraId="24DF43BE">
            <w:pPr>
              <w:rPr>
                <w:sz w:val="22"/>
                <w:szCs w:val="22"/>
              </w:rPr>
            </w:pPr>
            <w:r>
              <w:rPr>
                <w:sz w:val="22"/>
                <w:szCs w:val="22"/>
              </w:rPr>
              <w:t>Consultancy Duration:</w:t>
            </w:r>
          </w:p>
        </w:tc>
        <w:tc>
          <w:tcPr>
            <w:tcW w:w="2430" w:type="dxa"/>
            <w:vAlign w:val="center"/>
          </w:tcPr>
          <w:p w14:paraId="243686B9">
            <w:pPr>
              <w:rPr>
                <w:sz w:val="22"/>
                <w:szCs w:val="22"/>
              </w:rPr>
            </w:pPr>
            <w:r>
              <w:rPr>
                <w:sz w:val="22"/>
                <w:szCs w:val="22"/>
              </w:rPr>
              <w:t xml:space="preserve">50 days over the period of four (4)  months </w:t>
            </w:r>
          </w:p>
        </w:tc>
      </w:tr>
    </w:tbl>
    <w:p w14:paraId="4CFD089D"/>
    <w:p w14:paraId="7ACB0F6D">
      <w:pPr>
        <w:pStyle w:val="38"/>
        <w:numPr>
          <w:ilvl w:val="0"/>
          <w:numId w:val="1"/>
        </w:numPr>
        <w:rPr>
          <w:b/>
          <w:bCs/>
        </w:rPr>
      </w:pPr>
      <w:r>
        <w:rPr>
          <w:b/>
          <w:bCs/>
        </w:rPr>
        <w:t>PROJECT BACKGROUND</w:t>
      </w:r>
    </w:p>
    <w:tbl>
      <w:tblPr>
        <w:tblStyle w:val="23"/>
        <w:tblW w:w="1035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14:paraId="5515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0" w:type="dxa"/>
          </w:tcPr>
          <w:p w14:paraId="51D8C9CE">
            <w:pPr>
              <w:spacing w:line="276" w:lineRule="auto"/>
              <w:jc w:val="both"/>
              <w:rPr>
                <w:rFonts w:eastAsia="Calibri"/>
                <w:sz w:val="22"/>
                <w:szCs w:val="22"/>
                <w:lang w:val="en-ZA"/>
              </w:rPr>
            </w:pPr>
            <w:r>
              <w:rPr>
                <w:rFonts w:eastAsia="Calibri"/>
                <w:sz w:val="22"/>
                <w:szCs w:val="22"/>
                <w:lang w:val="en-ZA"/>
              </w:rPr>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04C2CB64">
            <w:pPr>
              <w:spacing w:line="276" w:lineRule="auto"/>
              <w:jc w:val="both"/>
              <w:rPr>
                <w:rFonts w:eastAsia="Calibri"/>
                <w:sz w:val="22"/>
                <w:szCs w:val="22"/>
              </w:rPr>
            </w:pPr>
          </w:p>
          <w:p w14:paraId="40016FDA">
            <w:pPr>
              <w:spacing w:line="276" w:lineRule="auto"/>
              <w:jc w:val="both"/>
              <w:rPr>
                <w:rFonts w:eastAsia="Calibri"/>
                <w:sz w:val="22"/>
                <w:szCs w:val="22"/>
              </w:rPr>
            </w:pPr>
            <w:r>
              <w:rPr>
                <w:rFonts w:eastAsia="Calibri"/>
                <w:sz w:val="22"/>
                <w:szCs w:val="22"/>
              </w:rPr>
              <w:t>The Government of Liberia (GoL), through the EPA and the United Nations Development Program (UNDP), and with funding from the Global Environmental Facility (GEF), received funding for the project “Enhancing Resilience of Vulnerable Coastal Communities in Sinoe County of Liberia (ERVCCS).” EPA is the project's Executing Entity. It is financed by a GEF Trust Fund grant and co-financed by UNDP and the GoL.</w:t>
            </w:r>
          </w:p>
          <w:p w14:paraId="122CE4B3">
            <w:pPr>
              <w:spacing w:line="276" w:lineRule="auto"/>
              <w:jc w:val="both"/>
              <w:rPr>
                <w:rFonts w:eastAsia="Calibri"/>
                <w:sz w:val="22"/>
                <w:szCs w:val="22"/>
              </w:rPr>
            </w:pPr>
          </w:p>
          <w:p w14:paraId="5F4E6D15">
            <w:pPr>
              <w:spacing w:line="276" w:lineRule="auto"/>
              <w:jc w:val="both"/>
              <w:rPr>
                <w:rFonts w:eastAsia="Calibri"/>
                <w:sz w:val="22"/>
                <w:szCs w:val="22"/>
              </w:rPr>
            </w:pPr>
            <w:r>
              <w:rPr>
                <w:rFonts w:eastAsia="Calibri"/>
                <w:sz w:val="22"/>
                <w:szCs w:val="22"/>
              </w:rPr>
              <w:t>The project aims to build on existing projects to strengthen the resilience of vulnerable coastal communities and their livelihoods to the impacts of climate change, focusing on women and youth. Specifically, project interventions include the following:</w:t>
            </w:r>
          </w:p>
          <w:p w14:paraId="5EBBB876">
            <w:pPr>
              <w:spacing w:line="276" w:lineRule="auto"/>
              <w:jc w:val="both"/>
              <w:rPr>
                <w:rFonts w:eastAsia="Calibri"/>
                <w:sz w:val="22"/>
                <w:szCs w:val="22"/>
              </w:rPr>
            </w:pPr>
          </w:p>
          <w:p w14:paraId="62A06E0B">
            <w:pPr>
              <w:rPr>
                <w:sz w:val="22"/>
                <w:szCs w:val="22"/>
              </w:rPr>
            </w:pPr>
            <w:r>
              <w:rPr>
                <w:rStyle w:val="27"/>
                <w:rFonts w:cs="Times New Roman"/>
                <w:b/>
                <w:bCs/>
                <w:color w:val="auto"/>
                <w:sz w:val="24"/>
                <w:szCs w:val="24"/>
              </w:rPr>
              <w:t>Component 1</w:t>
            </w:r>
            <w:r>
              <w:rPr>
                <w:rStyle w:val="27"/>
                <w:rFonts w:cs="Times New Roman"/>
                <w:color w:val="auto"/>
                <w:sz w:val="24"/>
                <w:szCs w:val="24"/>
              </w:rPr>
              <w:t>:</w:t>
            </w:r>
            <w:r>
              <w:rPr>
                <w:rFonts w:eastAsia="Calibri"/>
                <w:sz w:val="22"/>
                <w:szCs w:val="22"/>
              </w:rPr>
              <w:t xml:space="preserve"> Strengthening Institutional Capacity for Climate Change Adaptation Planning  </w:t>
            </w:r>
          </w:p>
          <w:p w14:paraId="0A26BC87">
            <w:pPr>
              <w:spacing w:line="276" w:lineRule="auto"/>
              <w:jc w:val="both"/>
              <w:rPr>
                <w:rStyle w:val="26"/>
                <w:rFonts w:ascii="Times New Roman" w:hAnsi="Times New Roman" w:cs="Times New Roman"/>
                <w:color w:val="auto"/>
                <w:sz w:val="24"/>
                <w:szCs w:val="24"/>
              </w:rPr>
            </w:pPr>
            <w:r>
              <w:rPr>
                <w:rStyle w:val="26"/>
                <w:rFonts w:ascii="Times New Roman" w:hAnsi="Times New Roman" w:cs="Times New Roman"/>
                <w:b/>
                <w:bCs/>
                <w:color w:val="auto"/>
                <w:sz w:val="24"/>
                <w:szCs w:val="24"/>
              </w:rPr>
              <w:t>Component 2</w:t>
            </w:r>
            <w:r>
              <w:rPr>
                <w:rStyle w:val="26"/>
                <w:rFonts w:ascii="Times New Roman" w:hAnsi="Times New Roman" w:cs="Times New Roman"/>
                <w:color w:val="auto"/>
                <w:sz w:val="24"/>
                <w:szCs w:val="24"/>
              </w:rPr>
              <w:t>:</w:t>
            </w:r>
            <w:r>
              <w:rPr>
                <w:rFonts w:eastAsia="Calibri"/>
                <w:sz w:val="22"/>
                <w:szCs w:val="22"/>
              </w:rPr>
              <w:t xml:space="preserve"> </w:t>
            </w:r>
            <w:r>
              <w:rPr>
                <w:sz w:val="24"/>
                <w:szCs w:val="24"/>
                <w:lang w:val="en-GB"/>
              </w:rPr>
              <w:t>Innovation, technologies and climate information introduced for coastal adaptation planning.</w:t>
            </w:r>
          </w:p>
          <w:p w14:paraId="0B1B4B3B">
            <w:pPr>
              <w:spacing w:line="276" w:lineRule="auto"/>
              <w:jc w:val="both"/>
              <w:rPr>
                <w:rFonts w:eastAsia="Calibri"/>
                <w:sz w:val="22"/>
                <w:szCs w:val="22"/>
              </w:rPr>
            </w:pPr>
            <w:r>
              <w:rPr>
                <w:rStyle w:val="26"/>
                <w:rFonts w:ascii="Times New Roman" w:hAnsi="Times New Roman" w:cs="Times New Roman"/>
                <w:b/>
                <w:bCs/>
                <w:color w:val="auto"/>
                <w:sz w:val="24"/>
                <w:szCs w:val="24"/>
              </w:rPr>
              <w:t>Component 3</w:t>
            </w:r>
            <w:r>
              <w:rPr>
                <w:rStyle w:val="26"/>
                <w:rFonts w:ascii="Times New Roman" w:hAnsi="Times New Roman" w:cs="Times New Roman"/>
                <w:color w:val="auto"/>
                <w:sz w:val="24"/>
                <w:szCs w:val="24"/>
              </w:rPr>
              <w:t>:</w:t>
            </w:r>
            <w:r>
              <w:rPr>
                <w:rFonts w:eastAsia="Calibri"/>
                <w:sz w:val="22"/>
                <w:szCs w:val="22"/>
              </w:rPr>
              <w:t xml:space="preserve"> Introducing Engineered Hybrid Adaptation Solutions,</w:t>
            </w:r>
            <w:r>
              <w:rPr>
                <w:rFonts w:eastAsia="Calibri" w:asciiTheme="minorHAnsi" w:hAnsiTheme="minorHAnsi" w:cstheme="minorHAnsi"/>
                <w:sz w:val="22"/>
                <w:szCs w:val="22"/>
              </w:rPr>
              <w:t xml:space="preserve"> and; </w:t>
            </w:r>
          </w:p>
          <w:p w14:paraId="3F88545B">
            <w:pPr>
              <w:spacing w:line="276" w:lineRule="auto"/>
              <w:jc w:val="both"/>
              <w:rPr>
                <w:rFonts w:eastAsia="Calibri"/>
                <w:sz w:val="22"/>
                <w:szCs w:val="22"/>
              </w:rPr>
            </w:pPr>
            <w:r>
              <w:rPr>
                <w:rStyle w:val="26"/>
                <w:rFonts w:ascii="Times New Roman" w:hAnsi="Times New Roman" w:cs="Times New Roman"/>
                <w:b/>
                <w:bCs/>
                <w:color w:val="auto"/>
                <w:sz w:val="24"/>
                <w:szCs w:val="24"/>
              </w:rPr>
              <w:t>Component 4</w:t>
            </w:r>
            <w:r>
              <w:rPr>
                <w:rStyle w:val="26"/>
                <w:rFonts w:ascii="Times New Roman" w:hAnsi="Times New Roman" w:cs="Times New Roman"/>
                <w:color w:val="auto"/>
                <w:sz w:val="24"/>
                <w:szCs w:val="24"/>
              </w:rPr>
              <w:t xml:space="preserve">: </w:t>
            </w:r>
            <w:r>
              <w:rPr>
                <w:rFonts w:eastAsia="Calibri"/>
                <w:sz w:val="22"/>
                <w:szCs w:val="22"/>
              </w:rPr>
              <w:t xml:space="preserve">Supporting Resilient Livelihood Diversification through Training and Improved Access to Finance. </w:t>
            </w:r>
          </w:p>
          <w:p w14:paraId="2A86256B">
            <w:pPr>
              <w:spacing w:line="276" w:lineRule="auto"/>
              <w:jc w:val="both"/>
              <w:rPr>
                <w:rFonts w:eastAsia="Calibri"/>
                <w:sz w:val="22"/>
                <w:szCs w:val="22"/>
              </w:rPr>
            </w:pPr>
          </w:p>
          <w:p w14:paraId="775633A3">
            <w:pPr>
              <w:spacing w:line="276" w:lineRule="auto"/>
              <w:jc w:val="both"/>
              <w:rPr>
                <w:rFonts w:eastAsia="Calibri"/>
                <w:sz w:val="22"/>
                <w:szCs w:val="22"/>
              </w:rPr>
            </w:pPr>
            <w:r>
              <w:rPr>
                <w:rFonts w:eastAsia="Calibri"/>
                <w:sz w:val="22"/>
                <w:szCs w:val="22"/>
              </w:rPr>
              <w:t>The majority of the above interventions will target all coastal counties in Liberia. In contrast, hybrid adaptation interventions will be explicitly implemented in Sinoe County, one of the country’s most vulnerable coastal counties.</w:t>
            </w:r>
          </w:p>
          <w:p w14:paraId="4107F624">
            <w:pPr>
              <w:spacing w:line="276" w:lineRule="auto"/>
              <w:jc w:val="both"/>
              <w:rPr>
                <w:rFonts w:eastAsia="Calibri"/>
                <w:sz w:val="10"/>
                <w:szCs w:val="10"/>
              </w:rPr>
            </w:pPr>
          </w:p>
          <w:p w14:paraId="697A9BB7">
            <w:pPr>
              <w:spacing w:line="276" w:lineRule="auto"/>
              <w:jc w:val="both"/>
              <w:rPr>
                <w:rFonts w:eastAsia="Calibri"/>
                <w:sz w:val="22"/>
                <w:szCs w:val="22"/>
              </w:rPr>
            </w:pPr>
            <w:r>
              <w:rPr>
                <w:rFonts w:eastAsia="Calibri"/>
                <w:sz w:val="22"/>
                <w:szCs w:val="22"/>
              </w:rPr>
              <w:t>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Sinoe County, is exacerbated by the limited capacity of GoL to provide essential services and adequate support for, among other things, water and sanitation, healthcare, utility-scale energy, and road infrastructure.</w:t>
            </w:r>
          </w:p>
          <w:p w14:paraId="1FB4B71D">
            <w:pPr>
              <w:spacing w:line="276" w:lineRule="auto"/>
              <w:jc w:val="both"/>
              <w:rPr>
                <w:rFonts w:eastAsia="Calibri"/>
                <w:sz w:val="22"/>
                <w:szCs w:val="22"/>
              </w:rPr>
            </w:pPr>
          </w:p>
          <w:p w14:paraId="72E1A222">
            <w:pPr>
              <w:spacing w:line="276" w:lineRule="auto"/>
              <w:jc w:val="both"/>
              <w:rPr>
                <w:rFonts w:eastAsia="Calibri"/>
                <w:sz w:val="22"/>
                <w:szCs w:val="22"/>
              </w:rPr>
            </w:pPr>
            <w:r>
              <w:rPr>
                <w:rFonts w:eastAsia="Calibri"/>
                <w:sz w:val="22"/>
                <w:szCs w:val="22"/>
              </w:rPr>
              <w:t xml:space="preserve">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 to address these threats. </w:t>
            </w:r>
          </w:p>
        </w:tc>
      </w:tr>
    </w:tbl>
    <w:p w14:paraId="6CB66DAF"/>
    <w:p w14:paraId="2F2D79B1">
      <w:pPr>
        <w:pStyle w:val="38"/>
        <w:numPr>
          <w:ilvl w:val="0"/>
          <w:numId w:val="1"/>
        </w:numPr>
        <w:rPr>
          <w:b/>
          <w:bCs/>
        </w:rPr>
      </w:pPr>
      <w:r>
        <w:rPr>
          <w:b/>
          <w:bCs/>
        </w:rPr>
        <w:t>SCOPE OF WORK</w:t>
      </w:r>
    </w:p>
    <w:tbl>
      <w:tblPr>
        <w:tblStyle w:val="23"/>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68E5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1E691785">
            <w:pPr>
              <w:spacing w:before="100" w:beforeAutospacing="1" w:after="100" w:afterAutospacing="1"/>
              <w:rPr>
                <w:sz w:val="22"/>
                <w:szCs w:val="22"/>
              </w:rPr>
            </w:pPr>
            <w:r>
              <w:rPr>
                <w:sz w:val="22"/>
                <w:szCs w:val="22"/>
              </w:rPr>
              <w:t xml:space="preserve">Under Component three of the project, the consultant will support the establishment of a </w:t>
            </w:r>
            <w:r>
              <w:rPr>
                <w:b/>
                <w:bCs/>
                <w:sz w:val="22"/>
                <w:szCs w:val="22"/>
              </w:rPr>
              <w:t>Community-Based Coastal Ecosystem Monitoring Programme</w:t>
            </w:r>
            <w:r>
              <w:rPr>
                <w:sz w:val="22"/>
                <w:szCs w:val="22"/>
              </w:rPr>
              <w:t xml:space="preserve"> to sustain nature-based adaptation interventions already initiated under the project. The assignment will build on previous work such as mangrove and forest restoration, the Community Action Plans (CAPs), and the Participatory Community Monitoring Framework.</w:t>
            </w:r>
          </w:p>
          <w:p w14:paraId="40B7FC7E">
            <w:pPr>
              <w:spacing w:before="100" w:beforeAutospacing="1" w:after="100" w:afterAutospacing="1"/>
              <w:jc w:val="both"/>
              <w:rPr>
                <w:sz w:val="22"/>
                <w:szCs w:val="22"/>
              </w:rPr>
            </w:pPr>
            <w:r>
              <w:rPr>
                <w:sz w:val="22"/>
                <w:szCs w:val="22"/>
              </w:rPr>
              <w:t>The monitoring programme will be designed to ensure that communities have the tools and skills to continuously access the health of coastal ecosystems and identify early signs of contamination and degradation. Specific tasks will include:</w:t>
            </w:r>
          </w:p>
          <w:p w14:paraId="6D5E49EF">
            <w:pPr>
              <w:numPr>
                <w:ilvl w:val="0"/>
                <w:numId w:val="3"/>
              </w:numPr>
              <w:spacing w:before="100" w:beforeAutospacing="1" w:after="100" w:afterAutospacing="1"/>
              <w:rPr>
                <w:sz w:val="22"/>
                <w:szCs w:val="22"/>
              </w:rPr>
            </w:pPr>
            <w:r>
              <w:rPr>
                <w:sz w:val="22"/>
                <w:szCs w:val="22"/>
              </w:rPr>
              <w:t>Conduct a baseline assessment of selected coastal sites to determine ecological conditions and monitoring priorities.</w:t>
            </w:r>
          </w:p>
          <w:p w14:paraId="296382D5">
            <w:pPr>
              <w:numPr>
                <w:ilvl w:val="0"/>
                <w:numId w:val="3"/>
              </w:numPr>
              <w:spacing w:before="100" w:beforeAutospacing="1" w:after="100" w:afterAutospacing="1"/>
              <w:rPr>
                <w:sz w:val="22"/>
                <w:szCs w:val="22"/>
              </w:rPr>
            </w:pPr>
            <w:r>
              <w:rPr>
                <w:sz w:val="22"/>
                <w:szCs w:val="22"/>
              </w:rPr>
              <w:t>Design simple monitoring tools and templates that can be used by community members with limited technical background.</w:t>
            </w:r>
          </w:p>
          <w:p w14:paraId="1C321FF7">
            <w:pPr>
              <w:numPr>
                <w:ilvl w:val="0"/>
                <w:numId w:val="3"/>
              </w:numPr>
              <w:spacing w:before="100" w:beforeAutospacing="1" w:after="100" w:afterAutospacing="1"/>
              <w:rPr>
                <w:sz w:val="22"/>
                <w:szCs w:val="22"/>
              </w:rPr>
            </w:pPr>
            <w:r>
              <w:rPr>
                <w:sz w:val="22"/>
                <w:szCs w:val="22"/>
              </w:rPr>
              <w:t>Utilize the Participatory Community Monitoring Framework (PCMF) and the CAPs to train all participating communities</w:t>
            </w:r>
          </w:p>
          <w:p w14:paraId="699EDFD2">
            <w:pPr>
              <w:numPr>
                <w:ilvl w:val="0"/>
                <w:numId w:val="3"/>
              </w:numPr>
              <w:spacing w:before="100" w:beforeAutospacing="1" w:after="100" w:afterAutospacing="1"/>
              <w:rPr>
                <w:sz w:val="22"/>
                <w:szCs w:val="22"/>
              </w:rPr>
            </w:pPr>
            <w:r>
              <w:rPr>
                <w:sz w:val="22"/>
                <w:szCs w:val="22"/>
              </w:rPr>
              <w:t>Train community monitors and strengthen  local capacity to collect, analyze, and report on ecosystem data, when using GPS, water quality monitoring kits, river gauge, invasive plant management equipment, fish monitoring equipment, binocular, camera traps, and field guides.</w:t>
            </w:r>
          </w:p>
          <w:p w14:paraId="0EFD6F35">
            <w:pPr>
              <w:numPr>
                <w:ilvl w:val="0"/>
                <w:numId w:val="3"/>
              </w:numPr>
              <w:spacing w:before="100" w:beforeAutospacing="1" w:after="100" w:afterAutospacing="1"/>
              <w:rPr>
                <w:sz w:val="22"/>
                <w:szCs w:val="22"/>
              </w:rPr>
            </w:pPr>
            <w:r>
              <w:rPr>
                <w:sz w:val="22"/>
                <w:szCs w:val="22"/>
              </w:rPr>
              <w:t>Establish a system for storing, managing, and sharing monitoring information with county and national institutions to guide planning, policy development, and budgeting.</w:t>
            </w:r>
          </w:p>
          <w:p w14:paraId="2B9FF7A8">
            <w:pPr>
              <w:numPr>
                <w:ilvl w:val="0"/>
                <w:numId w:val="3"/>
              </w:numPr>
              <w:spacing w:before="100" w:beforeAutospacing="1" w:after="100" w:afterAutospacing="1"/>
              <w:rPr>
                <w:sz w:val="22"/>
                <w:szCs w:val="22"/>
              </w:rPr>
            </w:pPr>
            <w:r>
              <w:rPr>
                <w:sz w:val="22"/>
                <w:szCs w:val="22"/>
              </w:rPr>
              <w:t>Ensure that monitoring is inclusive by incorporating   women, youth, and people living with disabilities in the process.</w:t>
            </w:r>
          </w:p>
          <w:p w14:paraId="19ABDA0D">
            <w:pPr>
              <w:spacing w:before="100" w:beforeAutospacing="1" w:after="100" w:afterAutospacing="1"/>
              <w:outlineLvl w:val="2"/>
              <w:rPr>
                <w:b/>
                <w:bCs/>
                <w:sz w:val="22"/>
                <w:szCs w:val="22"/>
              </w:rPr>
            </w:pPr>
            <w:r>
              <w:rPr>
                <w:b/>
                <w:bCs/>
                <w:sz w:val="22"/>
                <w:szCs w:val="22"/>
              </w:rPr>
              <w:t>Roles and Responsibilities</w:t>
            </w:r>
          </w:p>
          <w:p w14:paraId="70D8F3FE">
            <w:pPr>
              <w:spacing w:before="100" w:beforeAutospacing="1" w:after="100" w:afterAutospacing="1"/>
              <w:rPr>
                <w:sz w:val="22"/>
                <w:szCs w:val="22"/>
              </w:rPr>
            </w:pPr>
            <w:r>
              <w:rPr>
                <w:sz w:val="22"/>
                <w:szCs w:val="22"/>
              </w:rPr>
              <w:t>The consultant will be responsible for the following:</w:t>
            </w:r>
          </w:p>
          <w:p w14:paraId="4E155E38">
            <w:pPr>
              <w:numPr>
                <w:ilvl w:val="0"/>
                <w:numId w:val="3"/>
              </w:numPr>
              <w:spacing w:before="100" w:beforeAutospacing="1" w:after="100" w:afterAutospacing="1"/>
              <w:rPr>
                <w:sz w:val="22"/>
                <w:szCs w:val="22"/>
              </w:rPr>
            </w:pPr>
            <w:r>
              <w:rPr>
                <w:sz w:val="22"/>
                <w:szCs w:val="22"/>
              </w:rPr>
              <w:t>Review existing project documents, vulnerability reports, and ecological studies to identify gaps and entry points for monitoring.</w:t>
            </w:r>
          </w:p>
          <w:p w14:paraId="24CC696E">
            <w:pPr>
              <w:numPr>
                <w:ilvl w:val="0"/>
                <w:numId w:val="3"/>
              </w:numPr>
              <w:spacing w:before="100" w:beforeAutospacing="1" w:after="100" w:afterAutospacing="1"/>
              <w:rPr>
                <w:sz w:val="22"/>
                <w:szCs w:val="22"/>
              </w:rPr>
            </w:pPr>
            <w:r>
              <w:rPr>
                <w:sz w:val="22"/>
                <w:szCs w:val="22"/>
              </w:rPr>
              <w:t>Conduct consultations with local communities, county authorities, and project partners to align monitoring priorities.</w:t>
            </w:r>
          </w:p>
          <w:p w14:paraId="4ED289A2">
            <w:pPr>
              <w:numPr>
                <w:ilvl w:val="0"/>
                <w:numId w:val="3"/>
              </w:numPr>
              <w:spacing w:before="100" w:beforeAutospacing="1" w:after="100" w:afterAutospacing="1"/>
              <w:rPr>
                <w:sz w:val="24"/>
                <w:szCs w:val="24"/>
              </w:rPr>
            </w:pPr>
            <w:r>
              <w:rPr>
                <w:sz w:val="22"/>
                <w:szCs w:val="22"/>
              </w:rPr>
              <w:t>Establish community-specific monitoring committees (community monitors) that will be trained to monitor ecosystems and biodiversity across Downtown, Seebeh, Bafu Bay, Nanakru, Pungbor, and Tournata</w:t>
            </w:r>
          </w:p>
          <w:p w14:paraId="0588E1F9">
            <w:pPr>
              <w:pStyle w:val="38"/>
              <w:numPr>
                <w:ilvl w:val="0"/>
                <w:numId w:val="3"/>
              </w:numPr>
              <w:contextualSpacing w:val="0"/>
              <w:rPr>
                <w:sz w:val="22"/>
                <w:szCs w:val="22"/>
                <w:lang w:val="en-GB" w:eastAsia="ja-JP"/>
              </w:rPr>
            </w:pPr>
            <w:r>
              <w:rPr>
                <w:sz w:val="24"/>
                <w:szCs w:val="24"/>
                <w:lang w:val="en-GB" w:eastAsia="ja-JP"/>
              </w:rPr>
              <w:t>Design training programme on community-based monitoring systems</w:t>
            </w:r>
          </w:p>
          <w:p w14:paraId="76D775E3">
            <w:pPr>
              <w:pStyle w:val="38"/>
              <w:numPr>
                <w:ilvl w:val="0"/>
                <w:numId w:val="3"/>
              </w:numPr>
              <w:contextualSpacing w:val="0"/>
              <w:rPr>
                <w:sz w:val="22"/>
                <w:szCs w:val="22"/>
                <w:lang w:val="en-GB" w:eastAsia="ja-JP"/>
              </w:rPr>
            </w:pPr>
            <w:r>
              <w:rPr>
                <w:sz w:val="24"/>
                <w:szCs w:val="24"/>
                <w:lang w:val="en-GB" w:eastAsia="ja-JP"/>
              </w:rPr>
              <w:t>Implement training on community-based monitoring systems</w:t>
            </w:r>
          </w:p>
          <w:p w14:paraId="50F567B1">
            <w:pPr>
              <w:numPr>
                <w:ilvl w:val="0"/>
                <w:numId w:val="3"/>
              </w:numPr>
              <w:spacing w:before="100" w:beforeAutospacing="1" w:after="100" w:afterAutospacing="1"/>
              <w:rPr>
                <w:sz w:val="22"/>
                <w:szCs w:val="22"/>
              </w:rPr>
            </w:pPr>
            <w:r>
              <w:rPr>
                <w:sz w:val="22"/>
                <w:szCs w:val="22"/>
              </w:rPr>
              <w:t>Facilitate participatory workshops with community monitors to co-develop monitoring indicators and methods, and to monitor coastal ecosystem and biodiversity.</w:t>
            </w:r>
          </w:p>
          <w:p w14:paraId="7197DD1F">
            <w:pPr>
              <w:numPr>
                <w:ilvl w:val="0"/>
                <w:numId w:val="3"/>
              </w:numPr>
              <w:spacing w:before="100" w:beforeAutospacing="1" w:after="100" w:afterAutospacing="1"/>
              <w:rPr>
                <w:sz w:val="22"/>
                <w:szCs w:val="22"/>
              </w:rPr>
            </w:pPr>
            <w:r>
              <w:rPr>
                <w:sz w:val="22"/>
                <w:szCs w:val="22"/>
              </w:rPr>
              <w:t>Provide technical guidance and training for community monitors, including practical field sessions.</w:t>
            </w:r>
          </w:p>
          <w:p w14:paraId="6A0AD6B6">
            <w:pPr>
              <w:numPr>
                <w:ilvl w:val="0"/>
                <w:numId w:val="3"/>
              </w:numPr>
              <w:spacing w:before="100" w:beforeAutospacing="1" w:after="100" w:afterAutospacing="1"/>
              <w:rPr>
                <w:sz w:val="22"/>
                <w:szCs w:val="22"/>
              </w:rPr>
            </w:pPr>
            <w:r>
              <w:rPr>
                <w:sz w:val="22"/>
                <w:szCs w:val="22"/>
              </w:rPr>
              <w:t>Develop user-friendly manuals and reporting templates for ongoing monitoring activities.</w:t>
            </w:r>
          </w:p>
          <w:p w14:paraId="3CDBE60D">
            <w:pPr>
              <w:numPr>
                <w:ilvl w:val="0"/>
                <w:numId w:val="3"/>
              </w:numPr>
              <w:spacing w:before="100" w:beforeAutospacing="1" w:after="100" w:afterAutospacing="1"/>
              <w:rPr>
                <w:sz w:val="22"/>
                <w:szCs w:val="22"/>
              </w:rPr>
            </w:pPr>
            <w:r>
              <w:rPr>
                <w:sz w:val="22"/>
                <w:szCs w:val="22"/>
              </w:rPr>
              <w:t>Support the Project Management Unit (PMU) in integrating monitoring data into decision-making and reporting systems.</w:t>
            </w:r>
          </w:p>
          <w:p w14:paraId="5B1543B5">
            <w:pPr>
              <w:numPr>
                <w:ilvl w:val="0"/>
                <w:numId w:val="3"/>
              </w:numPr>
              <w:spacing w:before="100" w:beforeAutospacing="1" w:after="100" w:afterAutospacing="1"/>
              <w:rPr>
                <w:sz w:val="22"/>
                <w:szCs w:val="22"/>
              </w:rPr>
            </w:pPr>
            <w:r>
              <w:rPr>
                <w:sz w:val="22"/>
                <w:szCs w:val="22"/>
              </w:rPr>
              <w:t>Establish feedback mechanisms to ensure that monitoring results are shared with communities and used to strengthen local adaptation actions.</w:t>
            </w:r>
          </w:p>
          <w:p w14:paraId="7CA1B0D8">
            <w:pPr>
              <w:numPr>
                <w:ilvl w:val="0"/>
                <w:numId w:val="3"/>
              </w:numPr>
              <w:spacing w:before="100" w:beforeAutospacing="1" w:after="100" w:afterAutospacing="1"/>
              <w:rPr>
                <w:sz w:val="22"/>
                <w:szCs w:val="22"/>
              </w:rPr>
            </w:pPr>
            <w:r>
              <w:rPr>
                <w:sz w:val="22"/>
                <w:szCs w:val="22"/>
              </w:rPr>
              <w:t>Coordinate closely with project partners such as Conservation International (CI), EPA, FDA, and local NGOs to draw on existing experience and avoid duplication.</w:t>
            </w:r>
          </w:p>
          <w:p w14:paraId="328CF505">
            <w:pPr>
              <w:numPr>
                <w:ilvl w:val="0"/>
                <w:numId w:val="3"/>
              </w:numPr>
              <w:spacing w:before="100" w:beforeAutospacing="1" w:after="100" w:afterAutospacing="1"/>
              <w:rPr>
                <w:sz w:val="22"/>
                <w:szCs w:val="22"/>
              </w:rPr>
            </w:pPr>
            <w:r>
              <w:rPr>
                <w:sz w:val="22"/>
                <w:szCs w:val="22"/>
              </w:rPr>
              <w:t>Strengthen linkages between community monitors, county working groups, and national institutions to ensure sustainability and policy relevance.</w:t>
            </w:r>
          </w:p>
          <w:p w14:paraId="67E8CBF9">
            <w:pPr>
              <w:pStyle w:val="20"/>
              <w:rPr>
                <w:sz w:val="22"/>
                <w:szCs w:val="22"/>
                <w:lang w:val="en-GB" w:eastAsia="ja-JP"/>
              </w:rPr>
            </w:pPr>
            <w:r>
              <w:rPr>
                <w:sz w:val="22"/>
                <w:szCs w:val="22"/>
              </w:rPr>
              <w:t>The monitoring programme will enhance community ownership, improve accountability for project interventions, and provide reliable evidence for decision-making on resilience and natural resource management.</w:t>
            </w:r>
          </w:p>
        </w:tc>
      </w:tr>
    </w:tbl>
    <w:p w14:paraId="63ADDB57"/>
    <w:p w14:paraId="7E3E00E0">
      <w:pPr>
        <w:pStyle w:val="2"/>
        <w:numPr>
          <w:ilvl w:val="0"/>
          <w:numId w:val="1"/>
        </w:numPr>
        <w:rPr>
          <w:rFonts w:ascii="Times New Roman" w:hAnsi="Times New Roman" w:eastAsia="Calibri" w:cs="Times New Roman"/>
          <w:b/>
          <w:bCs/>
          <w:color w:val="auto"/>
          <w:sz w:val="24"/>
          <w:szCs w:val="24"/>
        </w:rPr>
      </w:pPr>
      <w:r>
        <w:rPr>
          <w:rFonts w:ascii="Times New Roman" w:hAnsi="Times New Roman" w:eastAsia="Calibri" w:cs="Times New Roman"/>
          <w:b/>
          <w:bCs/>
          <w:color w:val="auto"/>
          <w:sz w:val="24"/>
          <w:szCs w:val="24"/>
        </w:rPr>
        <w:t>KEY EXPECTED OUTPUT</w:t>
      </w:r>
    </w:p>
    <w:tbl>
      <w:tblPr>
        <w:tblStyle w:val="23"/>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0EDD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260" w:type="dxa"/>
          </w:tcPr>
          <w:p w14:paraId="63356990">
            <w:pPr>
              <w:pStyle w:val="20"/>
              <w:numPr>
                <w:ilvl w:val="0"/>
                <w:numId w:val="4"/>
              </w:numPr>
              <w:rPr>
                <w:sz w:val="22"/>
                <w:szCs w:val="22"/>
              </w:rPr>
            </w:pPr>
            <w:r>
              <w:rPr>
                <w:sz w:val="22"/>
                <w:szCs w:val="22"/>
              </w:rPr>
              <w:t>Baseline assessment report of the selected coastal ecosystems, highlighting priority indicators and gaps for monitoring.</w:t>
            </w:r>
          </w:p>
          <w:p w14:paraId="41EEA988">
            <w:pPr>
              <w:pStyle w:val="20"/>
              <w:numPr>
                <w:ilvl w:val="0"/>
                <w:numId w:val="4"/>
              </w:numPr>
              <w:rPr>
                <w:sz w:val="22"/>
                <w:szCs w:val="22"/>
              </w:rPr>
            </w:pPr>
            <w:r>
              <w:rPr>
                <w:sz w:val="22"/>
                <w:szCs w:val="22"/>
              </w:rPr>
              <w:t>Training report for community monitors, with participant lists, training materials, and key outcomes of the capacity-building sessions.</w:t>
            </w:r>
          </w:p>
          <w:p w14:paraId="0B07DA24">
            <w:pPr>
              <w:pStyle w:val="20"/>
              <w:numPr>
                <w:ilvl w:val="0"/>
                <w:numId w:val="4"/>
              </w:numPr>
              <w:rPr>
                <w:sz w:val="22"/>
                <w:szCs w:val="22"/>
              </w:rPr>
            </w:pPr>
            <w:r>
              <w:rPr>
                <w:sz w:val="22"/>
                <w:szCs w:val="22"/>
              </w:rPr>
              <w:t>Monitoring tools and templates (data collection forms, reporting formats, and guidelines) developed and handed over to community monitors and relevant authorities.</w:t>
            </w:r>
          </w:p>
          <w:p w14:paraId="705EE139">
            <w:pPr>
              <w:pStyle w:val="20"/>
              <w:numPr>
                <w:ilvl w:val="0"/>
                <w:numId w:val="4"/>
              </w:numPr>
              <w:rPr>
                <w:sz w:val="22"/>
                <w:szCs w:val="22"/>
              </w:rPr>
            </w:pPr>
            <w:r>
              <w:rPr>
                <w:sz w:val="22"/>
                <w:szCs w:val="22"/>
              </w:rPr>
              <w:t>Final report on the establishment of the monitoring programme, capturing the process, lessons learned, and recommendations for sustainability.</w:t>
            </w:r>
          </w:p>
          <w:p w14:paraId="24C52509">
            <w:pPr>
              <w:pStyle w:val="20"/>
              <w:numPr>
                <w:ilvl w:val="0"/>
                <w:numId w:val="4"/>
              </w:numPr>
              <w:rPr>
                <w:sz w:val="22"/>
                <w:szCs w:val="22"/>
              </w:rPr>
            </w:pPr>
            <w:r>
              <w:rPr>
                <w:sz w:val="22"/>
                <w:szCs w:val="20"/>
                <w:lang w:val="en-GB" w:eastAsia="ja-JP"/>
              </w:rPr>
              <w:t>Training programme on community-based monitoring systems</w:t>
            </w:r>
          </w:p>
          <w:p w14:paraId="70CB620A">
            <w:pPr>
              <w:pStyle w:val="20"/>
              <w:numPr>
                <w:ilvl w:val="0"/>
                <w:numId w:val="4"/>
              </w:numPr>
              <w:rPr>
                <w:sz w:val="22"/>
                <w:szCs w:val="22"/>
              </w:rPr>
            </w:pPr>
            <w:r>
              <w:rPr>
                <w:sz w:val="22"/>
                <w:szCs w:val="20"/>
                <w:lang w:val="en-GB" w:eastAsia="ja-JP"/>
              </w:rPr>
              <w:t>Report of training on community-based monitoring systems</w:t>
            </w:r>
          </w:p>
          <w:p w14:paraId="0E2A7BD6">
            <w:pPr>
              <w:pStyle w:val="20"/>
              <w:ind w:left="1440"/>
              <w:rPr>
                <w:rFonts w:eastAsia="Calibri"/>
                <w:sz w:val="22"/>
                <w:szCs w:val="22"/>
              </w:rPr>
            </w:pPr>
          </w:p>
        </w:tc>
      </w:tr>
    </w:tbl>
    <w:p w14:paraId="40B5C857">
      <w:pPr>
        <w:pStyle w:val="38"/>
        <w:numPr>
          <w:ilvl w:val="0"/>
          <w:numId w:val="1"/>
        </w:numPr>
        <w:rPr>
          <w:b/>
          <w:bCs/>
        </w:rPr>
      </w:pPr>
      <w:r>
        <w:rPr>
          <w:b/>
          <w:bCs/>
        </w:rPr>
        <w:t>DELIVERABLES AND PAYMENT SCHEDULE</w:t>
      </w:r>
    </w:p>
    <w:tbl>
      <w:tblPr>
        <w:tblStyle w:val="23"/>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7804"/>
        <w:gridCol w:w="1886"/>
      </w:tblGrid>
      <w:tr w14:paraId="56BA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BEBEBE" w:themeFill="background1" w:themeFillShade="BF"/>
          </w:tcPr>
          <w:p w14:paraId="2355063D">
            <w:pPr>
              <w:spacing w:line="276" w:lineRule="auto"/>
              <w:jc w:val="both"/>
              <w:rPr>
                <w:rStyle w:val="21"/>
                <w:rFonts w:eastAsiaTheme="majorEastAsia"/>
                <w:sz w:val="22"/>
                <w:szCs w:val="22"/>
              </w:rPr>
            </w:pPr>
            <w:r>
              <w:rPr>
                <w:rStyle w:val="21"/>
                <w:rFonts w:eastAsiaTheme="majorEastAsia"/>
                <w:sz w:val="22"/>
                <w:szCs w:val="22"/>
              </w:rPr>
              <w:t>No.</w:t>
            </w:r>
          </w:p>
        </w:tc>
        <w:tc>
          <w:tcPr>
            <w:tcW w:w="7804" w:type="dxa"/>
            <w:shd w:val="clear" w:color="auto" w:fill="BEBEBE" w:themeFill="background1" w:themeFillShade="BF"/>
          </w:tcPr>
          <w:p w14:paraId="0FDD1899">
            <w:pPr>
              <w:spacing w:line="276" w:lineRule="auto"/>
              <w:jc w:val="both"/>
              <w:rPr>
                <w:rStyle w:val="21"/>
                <w:rFonts w:eastAsiaTheme="majorEastAsia"/>
                <w:sz w:val="22"/>
                <w:szCs w:val="22"/>
              </w:rPr>
            </w:pPr>
            <w:r>
              <w:rPr>
                <w:rStyle w:val="21"/>
                <w:rFonts w:eastAsiaTheme="majorEastAsia"/>
                <w:sz w:val="22"/>
                <w:szCs w:val="22"/>
              </w:rPr>
              <w:t>Output</w:t>
            </w:r>
          </w:p>
        </w:tc>
        <w:tc>
          <w:tcPr>
            <w:tcW w:w="1886" w:type="dxa"/>
            <w:shd w:val="clear" w:color="auto" w:fill="BEBEBE" w:themeFill="background1" w:themeFillShade="BF"/>
          </w:tcPr>
          <w:p w14:paraId="30054F2B">
            <w:pPr>
              <w:spacing w:line="276" w:lineRule="auto"/>
              <w:jc w:val="both"/>
              <w:rPr>
                <w:rStyle w:val="21"/>
                <w:rFonts w:eastAsiaTheme="majorEastAsia"/>
                <w:sz w:val="22"/>
                <w:szCs w:val="22"/>
              </w:rPr>
            </w:pPr>
            <w:r>
              <w:rPr>
                <w:rStyle w:val="21"/>
                <w:rFonts w:eastAsiaTheme="majorEastAsia"/>
                <w:sz w:val="22"/>
                <w:szCs w:val="22"/>
              </w:rPr>
              <w:t>Payment Plan</w:t>
            </w:r>
          </w:p>
        </w:tc>
      </w:tr>
      <w:tr w14:paraId="422D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DA9F315">
            <w:pPr>
              <w:spacing w:line="276" w:lineRule="auto"/>
              <w:jc w:val="both"/>
              <w:rPr>
                <w:rStyle w:val="21"/>
                <w:rFonts w:eastAsiaTheme="majorEastAsia"/>
                <w:b w:val="0"/>
                <w:bCs w:val="0"/>
                <w:sz w:val="22"/>
                <w:szCs w:val="22"/>
              </w:rPr>
            </w:pPr>
            <w:r>
              <w:rPr>
                <w:rStyle w:val="21"/>
                <w:rFonts w:eastAsiaTheme="majorEastAsia"/>
                <w:sz w:val="22"/>
                <w:szCs w:val="22"/>
              </w:rPr>
              <w:t>1.</w:t>
            </w:r>
          </w:p>
        </w:tc>
        <w:tc>
          <w:tcPr>
            <w:tcW w:w="7804" w:type="dxa"/>
          </w:tcPr>
          <w:p w14:paraId="5BDF5620">
            <w:pPr>
              <w:spacing w:line="276" w:lineRule="auto"/>
              <w:jc w:val="both"/>
              <w:rPr>
                <w:rStyle w:val="21"/>
                <w:rFonts w:eastAsiaTheme="majorEastAsia"/>
                <w:b w:val="0"/>
                <w:bCs w:val="0"/>
                <w:sz w:val="22"/>
                <w:szCs w:val="22"/>
              </w:rPr>
            </w:pPr>
            <w:r>
              <w:rPr>
                <w:sz w:val="22"/>
                <w:szCs w:val="22"/>
              </w:rPr>
              <w:t>Inception Report (detailing methodology, workplan, and stakeholder engagement approach</w:t>
            </w:r>
          </w:p>
        </w:tc>
        <w:tc>
          <w:tcPr>
            <w:tcW w:w="1886" w:type="dxa"/>
          </w:tcPr>
          <w:p w14:paraId="21F8003D">
            <w:pPr>
              <w:spacing w:line="276" w:lineRule="auto"/>
              <w:jc w:val="both"/>
              <w:rPr>
                <w:rStyle w:val="21"/>
                <w:rFonts w:eastAsiaTheme="majorEastAsia"/>
                <w:b w:val="0"/>
                <w:bCs w:val="0"/>
                <w:sz w:val="22"/>
                <w:szCs w:val="22"/>
              </w:rPr>
            </w:pPr>
            <w:r>
              <w:rPr>
                <w:rStyle w:val="21"/>
                <w:rFonts w:eastAsiaTheme="majorEastAsia"/>
                <w:b w:val="0"/>
                <w:bCs w:val="0"/>
                <w:sz w:val="22"/>
                <w:szCs w:val="22"/>
              </w:rPr>
              <w:t>20%</w:t>
            </w:r>
          </w:p>
        </w:tc>
      </w:tr>
      <w:tr w14:paraId="1B46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6CCD652">
            <w:pPr>
              <w:spacing w:line="276" w:lineRule="auto"/>
              <w:jc w:val="both"/>
              <w:rPr>
                <w:rStyle w:val="21"/>
                <w:rFonts w:eastAsiaTheme="majorEastAsia"/>
                <w:b w:val="0"/>
                <w:bCs w:val="0"/>
                <w:sz w:val="22"/>
                <w:szCs w:val="22"/>
              </w:rPr>
            </w:pPr>
            <w:r>
              <w:rPr>
                <w:rStyle w:val="21"/>
                <w:rFonts w:eastAsiaTheme="majorEastAsia"/>
                <w:sz w:val="22"/>
                <w:szCs w:val="22"/>
              </w:rPr>
              <w:t>2.</w:t>
            </w:r>
          </w:p>
        </w:tc>
        <w:tc>
          <w:tcPr>
            <w:tcW w:w="7804" w:type="dxa"/>
          </w:tcPr>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4747D530">
              <w:tblPrEx>
                <w:tblCellMar>
                  <w:top w:w="15" w:type="dxa"/>
                  <w:left w:w="15" w:type="dxa"/>
                  <w:bottom w:w="15" w:type="dxa"/>
                  <w:right w:w="15" w:type="dxa"/>
                </w:tblCellMar>
              </w:tblPrEx>
              <w:trPr>
                <w:tblCellSpacing w:w="15" w:type="dxa"/>
              </w:trPr>
              <w:tc>
                <w:tcPr>
                  <w:tcW w:w="0" w:type="auto"/>
                  <w:vAlign w:val="center"/>
                </w:tcPr>
                <w:p w14:paraId="0EC56F34"/>
              </w:tc>
            </w:tr>
          </w:tbl>
          <w:p w14:paraId="29CA6E3A">
            <w:pPr>
              <w:rPr>
                <w:vanish/>
                <w:sz w:val="22"/>
                <w:szCs w:val="22"/>
              </w:rPr>
            </w:pPr>
          </w:p>
          <w:tbl>
            <w:tblPr>
              <w:tblStyle w:val="12"/>
              <w:tblW w:w="0" w:type="auto"/>
              <w:tblCellSpacing w:w="15" w:type="dxa"/>
              <w:tblInd w:w="0" w:type="dxa"/>
              <w:tblLayout w:type="autofit"/>
              <w:tblCellMar>
                <w:top w:w="15" w:type="dxa"/>
                <w:left w:w="15" w:type="dxa"/>
                <w:bottom w:w="15" w:type="dxa"/>
                <w:right w:w="15" w:type="dxa"/>
              </w:tblCellMar>
            </w:tblPr>
            <w:tblGrid>
              <w:gridCol w:w="7588"/>
            </w:tblGrid>
            <w:tr w14:paraId="76D3BCC6">
              <w:trPr>
                <w:tblCellSpacing w:w="15" w:type="dxa"/>
              </w:trPr>
              <w:tc>
                <w:tcPr>
                  <w:tcW w:w="0" w:type="auto"/>
                  <w:vAlign w:val="center"/>
                </w:tcPr>
                <w:p w14:paraId="11B74272">
                  <w:pPr>
                    <w:rPr>
                      <w:sz w:val="22"/>
                      <w:szCs w:val="22"/>
                    </w:rPr>
                  </w:pPr>
                  <w:r>
                    <w:rPr>
                      <w:sz w:val="22"/>
                      <w:szCs w:val="22"/>
                    </w:rPr>
                    <w:t xml:space="preserve">Submission and approval of: </w:t>
                  </w:r>
                  <w:r>
                    <w:rPr>
                      <w:sz w:val="22"/>
                      <w:szCs w:val="22"/>
                    </w:rPr>
                    <w:br w:type="textWrapping"/>
                  </w:r>
                  <w:r>
                    <w:rPr>
                      <w:sz w:val="22"/>
                      <w:szCs w:val="22"/>
                    </w:rPr>
                    <w:t>i. Baseline Assessment Report of selected coastal ecosystems</w:t>
                  </w:r>
                </w:p>
                <w:p w14:paraId="55F36E1A">
                  <w:r>
                    <w:rPr>
                      <w:sz w:val="20"/>
                      <w:szCs w:val="20"/>
                    </w:rPr>
                    <w:t>ii. D</w:t>
                  </w:r>
                  <w:r>
                    <w:rPr>
                      <w:sz w:val="22"/>
                      <w:szCs w:val="22"/>
                    </w:rPr>
                    <w:t>raft training programme (indicating a step-by-step approach on the use of the monitoring equipment)</w:t>
                  </w:r>
                  <w:r>
                    <w:rPr>
                      <w:sz w:val="20"/>
                      <w:szCs w:val="20"/>
                    </w:rPr>
                    <w:br w:type="textWrapping"/>
                  </w:r>
                </w:p>
              </w:tc>
            </w:tr>
          </w:tbl>
          <w:p w14:paraId="047AF1A5">
            <w:pPr>
              <w:spacing w:line="276" w:lineRule="auto"/>
              <w:rPr>
                <w:rStyle w:val="21"/>
                <w:rFonts w:eastAsiaTheme="majorEastAsia"/>
                <w:b w:val="0"/>
                <w:bCs w:val="0"/>
                <w:sz w:val="22"/>
                <w:szCs w:val="22"/>
              </w:rPr>
            </w:pPr>
          </w:p>
        </w:tc>
        <w:tc>
          <w:tcPr>
            <w:tcW w:w="1886" w:type="dxa"/>
          </w:tcPr>
          <w:p w14:paraId="7B94ECA1">
            <w:pPr>
              <w:spacing w:line="276" w:lineRule="auto"/>
              <w:jc w:val="both"/>
              <w:rPr>
                <w:rStyle w:val="21"/>
                <w:rFonts w:eastAsiaTheme="majorEastAsia"/>
                <w:b w:val="0"/>
                <w:bCs w:val="0"/>
                <w:sz w:val="22"/>
                <w:szCs w:val="22"/>
              </w:rPr>
            </w:pPr>
            <w:r>
              <w:rPr>
                <w:rStyle w:val="21"/>
                <w:rFonts w:eastAsiaTheme="majorEastAsia"/>
                <w:b w:val="0"/>
                <w:bCs w:val="0"/>
                <w:sz w:val="22"/>
                <w:szCs w:val="22"/>
              </w:rPr>
              <w:t>30%</w:t>
            </w:r>
          </w:p>
        </w:tc>
      </w:tr>
      <w:tr w14:paraId="0B00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04E70E28">
            <w:pPr>
              <w:spacing w:line="276" w:lineRule="auto"/>
              <w:jc w:val="both"/>
              <w:rPr>
                <w:rStyle w:val="21"/>
                <w:rFonts w:eastAsiaTheme="majorEastAsia"/>
                <w:b w:val="0"/>
                <w:bCs w:val="0"/>
                <w:sz w:val="22"/>
                <w:szCs w:val="22"/>
              </w:rPr>
            </w:pPr>
            <w:r>
              <w:rPr>
                <w:rStyle w:val="21"/>
                <w:rFonts w:eastAsiaTheme="majorEastAsia"/>
                <w:sz w:val="22"/>
                <w:szCs w:val="22"/>
              </w:rPr>
              <w:t>3.</w:t>
            </w:r>
          </w:p>
        </w:tc>
        <w:tc>
          <w:tcPr>
            <w:tcW w:w="7804" w:type="dxa"/>
          </w:tcPr>
          <w:p w14:paraId="2F16D220">
            <w:pPr>
              <w:spacing w:line="276" w:lineRule="auto"/>
              <w:jc w:val="both"/>
              <w:rPr>
                <w:rStyle w:val="21"/>
                <w:rFonts w:eastAsiaTheme="majorEastAsia"/>
                <w:b w:val="0"/>
                <w:bCs w:val="0"/>
                <w:sz w:val="22"/>
                <w:szCs w:val="22"/>
              </w:rPr>
            </w:pPr>
            <w:r>
              <w:rPr>
                <w:sz w:val="22"/>
                <w:szCs w:val="22"/>
              </w:rPr>
              <w:t>Upon establishment and verification of monitoring tools, data collection templates, and assignment of trained community monitors</w:t>
            </w:r>
          </w:p>
        </w:tc>
        <w:tc>
          <w:tcPr>
            <w:tcW w:w="1886" w:type="dxa"/>
          </w:tcPr>
          <w:p w14:paraId="1987D4F1">
            <w:pPr>
              <w:spacing w:line="276" w:lineRule="auto"/>
              <w:jc w:val="both"/>
              <w:rPr>
                <w:rStyle w:val="21"/>
                <w:rFonts w:eastAsiaTheme="majorEastAsia"/>
                <w:b w:val="0"/>
                <w:bCs w:val="0"/>
                <w:sz w:val="22"/>
                <w:szCs w:val="22"/>
              </w:rPr>
            </w:pPr>
            <w:r>
              <w:rPr>
                <w:rStyle w:val="21"/>
                <w:rFonts w:eastAsiaTheme="majorEastAsia"/>
                <w:b w:val="0"/>
                <w:bCs w:val="0"/>
                <w:sz w:val="22"/>
                <w:szCs w:val="22"/>
              </w:rPr>
              <w:t>20%</w:t>
            </w:r>
          </w:p>
        </w:tc>
      </w:tr>
      <w:tr w14:paraId="3089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3CC4FF03">
            <w:pPr>
              <w:spacing w:line="276" w:lineRule="auto"/>
              <w:jc w:val="both"/>
              <w:rPr>
                <w:rStyle w:val="21"/>
                <w:rFonts w:eastAsiaTheme="majorEastAsia"/>
                <w:b w:val="0"/>
                <w:bCs w:val="0"/>
                <w:sz w:val="22"/>
                <w:szCs w:val="22"/>
              </w:rPr>
            </w:pPr>
            <w:r>
              <w:rPr>
                <w:rStyle w:val="21"/>
                <w:rFonts w:eastAsiaTheme="majorEastAsia"/>
                <w:sz w:val="22"/>
                <w:szCs w:val="22"/>
              </w:rPr>
              <w:t>4.</w:t>
            </w:r>
          </w:p>
        </w:tc>
        <w:tc>
          <w:tcPr>
            <w:tcW w:w="7804" w:type="dxa"/>
          </w:tcPr>
          <w:p w14:paraId="6C77F925">
            <w:pPr>
              <w:spacing w:line="276" w:lineRule="auto"/>
              <w:jc w:val="both"/>
              <w:rPr>
                <w:rStyle w:val="21"/>
                <w:rFonts w:eastAsiaTheme="majorEastAsia"/>
                <w:b w:val="0"/>
                <w:bCs w:val="0"/>
                <w:sz w:val="22"/>
                <w:szCs w:val="22"/>
              </w:rPr>
            </w:pPr>
            <w:r>
              <w:rPr>
                <w:sz w:val="22"/>
                <w:szCs w:val="22"/>
              </w:rPr>
              <w:t>Submission and approval of Training Report (with participant list, training materials, and evaluation)</w:t>
            </w:r>
          </w:p>
        </w:tc>
        <w:tc>
          <w:tcPr>
            <w:tcW w:w="1886" w:type="dxa"/>
          </w:tcPr>
          <w:p w14:paraId="519DDF3A">
            <w:pPr>
              <w:spacing w:line="276" w:lineRule="auto"/>
              <w:jc w:val="both"/>
              <w:rPr>
                <w:rStyle w:val="21"/>
                <w:rFonts w:eastAsiaTheme="majorEastAsia"/>
                <w:b w:val="0"/>
                <w:bCs w:val="0"/>
                <w:sz w:val="22"/>
                <w:szCs w:val="22"/>
              </w:rPr>
            </w:pPr>
            <w:r>
              <w:rPr>
                <w:rStyle w:val="21"/>
                <w:rFonts w:eastAsiaTheme="majorEastAsia"/>
                <w:b w:val="0"/>
                <w:bCs w:val="0"/>
                <w:sz w:val="22"/>
                <w:szCs w:val="22"/>
              </w:rPr>
              <w:t>15%</w:t>
            </w:r>
          </w:p>
        </w:tc>
      </w:tr>
      <w:tr w14:paraId="2EBA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26CE4410">
            <w:pPr>
              <w:spacing w:line="276" w:lineRule="auto"/>
              <w:jc w:val="both"/>
              <w:rPr>
                <w:rStyle w:val="21"/>
                <w:rFonts w:eastAsiaTheme="majorEastAsia"/>
                <w:sz w:val="22"/>
                <w:szCs w:val="22"/>
              </w:rPr>
            </w:pPr>
            <w:r>
              <w:rPr>
                <w:rStyle w:val="21"/>
                <w:rFonts w:eastAsiaTheme="majorEastAsia"/>
                <w:sz w:val="22"/>
                <w:szCs w:val="22"/>
              </w:rPr>
              <w:t>5.</w:t>
            </w:r>
          </w:p>
        </w:tc>
        <w:tc>
          <w:tcPr>
            <w:tcW w:w="7804" w:type="dxa"/>
          </w:tcPr>
          <w:p w14:paraId="5215D647">
            <w:pPr>
              <w:spacing w:line="276" w:lineRule="auto"/>
              <w:jc w:val="both"/>
              <w:rPr>
                <w:rStyle w:val="21"/>
                <w:rFonts w:eastAsiaTheme="majorEastAsia"/>
                <w:sz w:val="22"/>
                <w:szCs w:val="22"/>
              </w:rPr>
            </w:pPr>
            <w:r>
              <w:rPr>
                <w:sz w:val="22"/>
                <w:szCs w:val="22"/>
              </w:rPr>
              <w:t>Submission and approval of Final Report on the establishment of the monitoring programme, including lessons learned and recommendations for sustainability</w:t>
            </w:r>
          </w:p>
        </w:tc>
        <w:tc>
          <w:tcPr>
            <w:tcW w:w="1886" w:type="dxa"/>
          </w:tcPr>
          <w:p w14:paraId="2ACA520A">
            <w:pPr>
              <w:spacing w:line="276" w:lineRule="auto"/>
              <w:jc w:val="both"/>
              <w:rPr>
                <w:rStyle w:val="21"/>
                <w:rFonts w:eastAsiaTheme="majorEastAsia"/>
                <w:b w:val="0"/>
                <w:bCs w:val="0"/>
                <w:sz w:val="22"/>
                <w:szCs w:val="22"/>
              </w:rPr>
            </w:pPr>
            <w:r>
              <w:rPr>
                <w:rStyle w:val="21"/>
                <w:rFonts w:eastAsiaTheme="majorEastAsia"/>
                <w:b w:val="0"/>
                <w:bCs w:val="0"/>
                <w:sz w:val="22"/>
                <w:szCs w:val="22"/>
              </w:rPr>
              <w:t>15%</w:t>
            </w:r>
          </w:p>
        </w:tc>
      </w:tr>
    </w:tbl>
    <w:p w14:paraId="5A59F1BC"/>
    <w:p w14:paraId="38795F97">
      <w:pPr>
        <w:pStyle w:val="38"/>
        <w:numPr>
          <w:ilvl w:val="0"/>
          <w:numId w:val="1"/>
        </w:numPr>
        <w:rPr>
          <w:b/>
          <w:bCs/>
        </w:rPr>
      </w:pPr>
      <w:r>
        <w:rPr>
          <w:b/>
          <w:bCs/>
        </w:rPr>
        <w:t>QUALIFICATIONS AND EXPERIENCE</w:t>
      </w:r>
    </w:p>
    <w:tbl>
      <w:tblPr>
        <w:tblStyle w:val="23"/>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72A4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009E4F19">
            <w:pPr>
              <w:pStyle w:val="20"/>
              <w:ind w:left="360"/>
              <w:rPr>
                <w:b/>
                <w:bCs/>
                <w:sz w:val="22"/>
                <w:szCs w:val="22"/>
              </w:rPr>
            </w:pPr>
            <w:r>
              <w:rPr>
                <w:b/>
                <w:bCs/>
                <w:sz w:val="22"/>
                <w:szCs w:val="22"/>
              </w:rPr>
              <w:t>Education/Experience</w:t>
            </w:r>
          </w:p>
          <w:p w14:paraId="7BC01BDB">
            <w:pPr>
              <w:pStyle w:val="20"/>
              <w:jc w:val="both"/>
              <w:rPr>
                <w:sz w:val="22"/>
                <w:szCs w:val="22"/>
              </w:rPr>
            </w:pPr>
            <w:r>
              <w:rPr>
                <w:sz w:val="22"/>
                <w:szCs w:val="22"/>
              </w:rPr>
              <w:t>The consultant must hold a minimum of a Master’s degree in a relevant field, such as Environmental Science, Natural Resource Management, Environmental Geosciences, Coastal/Marine Ecology, Conservation Biology, or a related discipline. A PhD in any of the above fields will be considered an added advantage.</w:t>
            </w:r>
          </w:p>
          <w:p w14:paraId="76D45DC9">
            <w:pPr>
              <w:pStyle w:val="20"/>
              <w:numPr>
                <w:ilvl w:val="0"/>
                <w:numId w:val="5"/>
              </w:numPr>
              <w:jc w:val="both"/>
              <w:rPr>
                <w:sz w:val="22"/>
                <w:szCs w:val="22"/>
              </w:rPr>
            </w:pPr>
            <w:r>
              <w:rPr>
                <w:sz w:val="22"/>
                <w:szCs w:val="22"/>
              </w:rPr>
              <w:t>The consultant must have at least seven (7) years of proven professional experience in coastal ecosystem monitoring, biodiversity, climate change adaptation, or monitoring of nature-based solutions, preferably within Sub-Saharan Africa or in a similar region of the world.</w:t>
            </w:r>
          </w:p>
          <w:p w14:paraId="32AAA856">
            <w:pPr>
              <w:pStyle w:val="20"/>
              <w:numPr>
                <w:ilvl w:val="0"/>
                <w:numId w:val="5"/>
              </w:numPr>
              <w:jc w:val="both"/>
              <w:rPr>
                <w:sz w:val="22"/>
                <w:szCs w:val="22"/>
              </w:rPr>
            </w:pPr>
            <w:r>
              <w:rPr>
                <w:sz w:val="22"/>
                <w:szCs w:val="22"/>
              </w:rPr>
              <w:t>Demonstrated expertise in designing and implementing community-based monitoring frameworks, including developing indicators and data collection tools.</w:t>
            </w:r>
          </w:p>
          <w:p w14:paraId="0A7BE560">
            <w:pPr>
              <w:pStyle w:val="20"/>
              <w:numPr>
                <w:ilvl w:val="0"/>
                <w:numId w:val="5"/>
              </w:numPr>
              <w:jc w:val="both"/>
              <w:rPr>
                <w:sz w:val="22"/>
                <w:szCs w:val="22"/>
              </w:rPr>
            </w:pPr>
            <w:r>
              <w:rPr>
                <w:sz w:val="22"/>
                <w:szCs w:val="22"/>
              </w:rPr>
              <w:t>Familiarity with coastal ecosystems (mangroves, wetlands, estuaries, and shoreline forests) in Sub-Saharan Africa. Prior experience working in Liberia will be an advantage.</w:t>
            </w:r>
          </w:p>
          <w:p w14:paraId="2B97402F">
            <w:pPr>
              <w:pStyle w:val="20"/>
              <w:numPr>
                <w:ilvl w:val="0"/>
                <w:numId w:val="5"/>
              </w:numPr>
              <w:jc w:val="both"/>
              <w:rPr>
                <w:sz w:val="22"/>
                <w:szCs w:val="22"/>
              </w:rPr>
            </w:pPr>
            <w:r>
              <w:rPr>
                <w:sz w:val="22"/>
                <w:szCs w:val="22"/>
              </w:rPr>
              <w:t xml:space="preserve">Experience working with government institutions, development partners, and local communities in participatory monitoring and evaluation processes.Proven track record of building capacity in the use of GPS, water quality monitoring equipment, river gauge, fish monitoring equipment, camera trap, etcviii. </w:t>
            </w:r>
          </w:p>
          <w:p w14:paraId="1037CF79">
            <w:pPr>
              <w:pStyle w:val="20"/>
              <w:numPr>
                <w:ilvl w:val="0"/>
                <w:numId w:val="5"/>
              </w:numPr>
              <w:jc w:val="both"/>
              <w:rPr>
                <w:sz w:val="22"/>
                <w:szCs w:val="22"/>
              </w:rPr>
            </w:pPr>
            <w:r>
              <w:rPr>
                <w:sz w:val="22"/>
                <w:szCs w:val="22"/>
              </w:rPr>
              <w:t>Strong analytical, communication, and reporting skills, with evidence of published reports or technical documents on ecosystem monitoring.</w:t>
            </w:r>
          </w:p>
          <w:p w14:paraId="301A0E53">
            <w:pPr>
              <w:pStyle w:val="20"/>
              <w:numPr>
                <w:ilvl w:val="0"/>
                <w:numId w:val="5"/>
              </w:numPr>
              <w:jc w:val="both"/>
              <w:rPr>
                <w:rStyle w:val="21"/>
                <w:rFonts w:eastAsiaTheme="majorEastAsia"/>
                <w:sz w:val="24"/>
                <w:szCs w:val="24"/>
              </w:rPr>
            </w:pPr>
            <w:r>
              <w:rPr>
                <w:sz w:val="22"/>
                <w:szCs w:val="22"/>
              </w:rPr>
              <w:t>Ability to work across disciplines and engage with diverse stakeholders, including national agencies, local governments, civil society organizations, women, youth, and people with disabilities.Effective organizational and time management skills, with the ability to deliver high-quality outputs within agreed timelines.</w:t>
            </w:r>
          </w:p>
        </w:tc>
      </w:tr>
    </w:tbl>
    <w:p w14:paraId="50CC81D6">
      <w:pPr>
        <w:rPr>
          <w:b/>
          <w:bCs/>
        </w:rPr>
      </w:pPr>
    </w:p>
    <w:p w14:paraId="5ADCBD10">
      <w:pPr>
        <w:pStyle w:val="38"/>
        <w:numPr>
          <w:ilvl w:val="0"/>
          <w:numId w:val="1"/>
        </w:numPr>
        <w:rPr>
          <w:b/>
          <w:bCs/>
        </w:rPr>
      </w:pPr>
      <w:r>
        <w:rPr>
          <w:b/>
          <w:bCs/>
        </w:rPr>
        <w:t>CONTRACT &amp; REPORTING</w:t>
      </w:r>
    </w:p>
    <w:tbl>
      <w:tblPr>
        <w:tblStyle w:val="23"/>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6932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783DE241">
            <w:pPr>
              <w:pStyle w:val="20"/>
              <w:rPr>
                <w:sz w:val="22"/>
                <w:szCs w:val="22"/>
              </w:rPr>
            </w:pPr>
            <w:r>
              <w:rPr>
                <w:sz w:val="22"/>
                <w:szCs w:val="22"/>
              </w:rPr>
              <w:t>The consultant shall report directly to the Project Manager 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5E25BF8E">
            <w:pPr>
              <w:rPr>
                <w:sz w:val="22"/>
                <w:szCs w:val="22"/>
              </w:rPr>
            </w:pPr>
            <w:r>
              <w:rPr>
                <w:sz w:val="22"/>
                <w:szCs w:val="22"/>
              </w:rPr>
              <w:t>The EPA reserves the right to terminate the contract should the consultant’s performance fall below agreed standards or fail to meet the project’s requirements.</w:t>
            </w:r>
          </w:p>
        </w:tc>
      </w:tr>
    </w:tbl>
    <w:p w14:paraId="160FFFE8"/>
    <w:p w14:paraId="6A29530B"/>
    <w:p w14:paraId="1912A9C4">
      <w:pPr>
        <w:pStyle w:val="38"/>
        <w:numPr>
          <w:ilvl w:val="0"/>
          <w:numId w:val="1"/>
        </w:numPr>
        <w:rPr>
          <w:b/>
          <w:bCs/>
        </w:rPr>
      </w:pPr>
      <w:r>
        <w:rPr>
          <w:b/>
          <w:bCs/>
        </w:rPr>
        <w:t>SUBMISSION OF APPLICATION</w:t>
      </w:r>
    </w:p>
    <w:tbl>
      <w:tblPr>
        <w:tblStyle w:val="23"/>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41A3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27B3F5B4">
            <w:pPr>
              <w:pStyle w:val="20"/>
              <w:rPr>
                <w:sz w:val="22"/>
                <w:szCs w:val="22"/>
              </w:rPr>
            </w:pPr>
            <w:r>
              <w:rPr>
                <w:sz w:val="22"/>
                <w:szCs w:val="22"/>
              </w:rPr>
              <w:t>Interested international consultants are invited to submit the following application package electronically:</w:t>
            </w:r>
          </w:p>
          <w:p w14:paraId="3DE5BE5A">
            <w:pPr>
              <w:pStyle w:val="20"/>
              <w:numPr>
                <w:ilvl w:val="0"/>
                <w:numId w:val="6"/>
              </w:numPr>
              <w:rPr>
                <w:sz w:val="22"/>
                <w:szCs w:val="22"/>
              </w:rPr>
            </w:pPr>
            <w:r>
              <w:rPr>
                <w:sz w:val="22"/>
                <w:szCs w:val="22"/>
              </w:rPr>
              <w:t xml:space="preserve">A detailed </w:t>
            </w:r>
            <w:r>
              <w:rPr>
                <w:rFonts w:hint="default"/>
                <w:sz w:val="22"/>
                <w:szCs w:val="22"/>
                <w:lang w:val="en-US"/>
              </w:rPr>
              <w:t>T</w:t>
            </w:r>
            <w:r>
              <w:rPr>
                <w:rStyle w:val="21"/>
                <w:rFonts w:eastAsiaTheme="majorEastAsia"/>
                <w:b w:val="0"/>
                <w:bCs w:val="0"/>
                <w:sz w:val="22"/>
                <w:szCs w:val="22"/>
              </w:rPr>
              <w:t xml:space="preserve">echnical </w:t>
            </w:r>
            <w:r>
              <w:rPr>
                <w:rStyle w:val="21"/>
                <w:rFonts w:hint="default" w:eastAsiaTheme="majorEastAsia"/>
                <w:b w:val="0"/>
                <w:bCs w:val="0"/>
                <w:sz w:val="22"/>
                <w:szCs w:val="22"/>
                <w:lang w:val="en-US"/>
              </w:rPr>
              <w:t>P</w:t>
            </w:r>
            <w:r>
              <w:rPr>
                <w:rStyle w:val="21"/>
                <w:rFonts w:eastAsiaTheme="majorEastAsia"/>
                <w:b w:val="0"/>
                <w:bCs w:val="0"/>
                <w:sz w:val="22"/>
                <w:szCs w:val="22"/>
              </w:rPr>
              <w:t>roposal</w:t>
            </w:r>
            <w:r>
              <w:rPr>
                <w:sz w:val="22"/>
                <w:szCs w:val="22"/>
              </w:rPr>
              <w:t xml:space="preserve"> outlining the consultant’s understanding of the assignment, implementation methodology, and work plan;</w:t>
            </w:r>
          </w:p>
          <w:p w14:paraId="31C452DF">
            <w:pPr>
              <w:pStyle w:val="20"/>
              <w:numPr>
                <w:ilvl w:val="0"/>
                <w:numId w:val="6"/>
              </w:numPr>
              <w:rPr>
                <w:sz w:val="22"/>
                <w:szCs w:val="22"/>
              </w:rPr>
            </w:pPr>
            <w:r>
              <w:rPr>
                <w:sz w:val="22"/>
                <w:szCs w:val="22"/>
              </w:rPr>
              <w:t xml:space="preserve">A </w:t>
            </w:r>
            <w:r>
              <w:rPr>
                <w:sz w:val="22"/>
                <w:szCs w:val="22"/>
                <w:lang w:val="en-US"/>
              </w:rPr>
              <w:t>detailed</w:t>
            </w:r>
            <w:r>
              <w:rPr>
                <w:rStyle w:val="21"/>
                <w:rFonts w:eastAsiaTheme="majorEastAsia"/>
                <w:sz w:val="22"/>
                <w:szCs w:val="22"/>
              </w:rPr>
              <w:t xml:space="preserve"> </w:t>
            </w:r>
            <w:r>
              <w:rPr>
                <w:rStyle w:val="21"/>
                <w:rFonts w:hint="default" w:eastAsiaTheme="majorEastAsia"/>
                <w:b w:val="0"/>
                <w:bCs w:val="0"/>
                <w:sz w:val="22"/>
                <w:szCs w:val="22"/>
                <w:lang w:val="en-US"/>
              </w:rPr>
              <w:t>F</w:t>
            </w:r>
            <w:r>
              <w:rPr>
                <w:rStyle w:val="21"/>
                <w:rFonts w:eastAsiaTheme="majorEastAsia"/>
                <w:b w:val="0"/>
                <w:bCs w:val="0"/>
                <w:sz w:val="22"/>
                <w:szCs w:val="22"/>
              </w:rPr>
              <w:t xml:space="preserve">inancial </w:t>
            </w:r>
            <w:r>
              <w:rPr>
                <w:rStyle w:val="21"/>
                <w:rFonts w:hint="default" w:eastAsiaTheme="majorEastAsia"/>
                <w:b w:val="0"/>
                <w:bCs w:val="0"/>
                <w:sz w:val="22"/>
                <w:szCs w:val="22"/>
                <w:lang w:val="en-US"/>
              </w:rPr>
              <w:t>P</w:t>
            </w:r>
            <w:r>
              <w:rPr>
                <w:rStyle w:val="21"/>
                <w:rFonts w:eastAsiaTheme="majorEastAsia"/>
                <w:b w:val="0"/>
                <w:bCs w:val="0"/>
                <w:sz w:val="22"/>
                <w:szCs w:val="22"/>
              </w:rPr>
              <w:t>roposal</w:t>
            </w:r>
            <w:r>
              <w:rPr>
                <w:sz w:val="22"/>
                <w:szCs w:val="22"/>
              </w:rPr>
              <w:t xml:space="preserve"> indicating daily rates and total costs for delivering the assignment;</w:t>
            </w:r>
          </w:p>
          <w:p w14:paraId="53ABF620">
            <w:pPr>
              <w:pStyle w:val="20"/>
              <w:numPr>
                <w:ilvl w:val="0"/>
                <w:numId w:val="6"/>
              </w:numPr>
              <w:rPr>
                <w:sz w:val="22"/>
                <w:szCs w:val="22"/>
              </w:rPr>
            </w:pPr>
            <w:r>
              <w:rPr>
                <w:sz w:val="22"/>
                <w:szCs w:val="22"/>
              </w:rPr>
              <w:t xml:space="preserve">A </w:t>
            </w:r>
            <w:r>
              <w:rPr>
                <w:rStyle w:val="21"/>
                <w:rFonts w:eastAsiaTheme="majorEastAsia"/>
                <w:sz w:val="22"/>
                <w:szCs w:val="22"/>
              </w:rPr>
              <w:t>o</w:t>
            </w:r>
            <w:r>
              <w:rPr>
                <w:rStyle w:val="21"/>
                <w:rFonts w:eastAsiaTheme="majorEastAsia"/>
                <w:b w:val="0"/>
                <w:bCs w:val="0"/>
                <w:sz w:val="22"/>
                <w:szCs w:val="22"/>
              </w:rPr>
              <w:t>ne-page cover letter</w:t>
            </w:r>
            <w:r>
              <w:rPr>
                <w:sz w:val="22"/>
                <w:szCs w:val="22"/>
              </w:rPr>
              <w:t>;</w:t>
            </w:r>
          </w:p>
          <w:p w14:paraId="070DFD8C">
            <w:pPr>
              <w:pStyle w:val="20"/>
              <w:numPr>
                <w:ilvl w:val="0"/>
                <w:numId w:val="6"/>
              </w:numPr>
              <w:rPr>
                <w:sz w:val="22"/>
                <w:szCs w:val="22"/>
              </w:rPr>
            </w:pPr>
            <w:r>
              <w:rPr>
                <w:sz w:val="22"/>
                <w:szCs w:val="22"/>
              </w:rPr>
              <w:t xml:space="preserve">An updated </w:t>
            </w:r>
            <w:r>
              <w:rPr>
                <w:rStyle w:val="21"/>
                <w:rFonts w:eastAsiaTheme="majorEastAsia"/>
                <w:b w:val="0"/>
                <w:bCs w:val="0"/>
                <w:sz w:val="22"/>
                <w:szCs w:val="22"/>
              </w:rPr>
              <w:t>Curriculum Vitae (CV</w:t>
            </w:r>
            <w:r>
              <w:rPr>
                <w:rStyle w:val="21"/>
                <w:rFonts w:eastAsiaTheme="majorEastAsia"/>
                <w:sz w:val="22"/>
                <w:szCs w:val="22"/>
              </w:rPr>
              <w:t>)</w:t>
            </w:r>
            <w:r>
              <w:rPr>
                <w:sz w:val="22"/>
                <w:szCs w:val="22"/>
              </w:rPr>
              <w:t xml:space="preserve"> highlighting relevant qualifications and experience;</w:t>
            </w:r>
          </w:p>
          <w:p w14:paraId="3EC4A81F">
            <w:pPr>
              <w:pStyle w:val="20"/>
              <w:numPr>
                <w:ilvl w:val="0"/>
                <w:numId w:val="6"/>
              </w:numPr>
              <w:rPr>
                <w:sz w:val="22"/>
                <w:szCs w:val="22"/>
              </w:rPr>
            </w:pPr>
            <w:r>
              <w:rPr>
                <w:sz w:val="22"/>
                <w:szCs w:val="22"/>
              </w:rPr>
              <w:t xml:space="preserve">Copies of </w:t>
            </w:r>
            <w:r>
              <w:rPr>
                <w:rStyle w:val="21"/>
                <w:rFonts w:eastAsiaTheme="majorEastAsia"/>
                <w:b w:val="0"/>
                <w:bCs w:val="0"/>
                <w:sz w:val="22"/>
                <w:szCs w:val="22"/>
              </w:rPr>
              <w:t>academic credentials</w:t>
            </w:r>
            <w:r>
              <w:rPr>
                <w:sz w:val="22"/>
                <w:szCs w:val="22"/>
              </w:rPr>
              <w:t xml:space="preserve"> and pr</w:t>
            </w:r>
            <w:bookmarkStart w:id="1" w:name="_GoBack"/>
            <w:bookmarkEnd w:id="1"/>
            <w:r>
              <w:rPr>
                <w:sz w:val="22"/>
                <w:szCs w:val="22"/>
              </w:rPr>
              <w:t>ofessional certifications;</w:t>
            </w:r>
          </w:p>
          <w:p w14:paraId="197272F3">
            <w:pPr>
              <w:pStyle w:val="20"/>
              <w:numPr>
                <w:ilvl w:val="0"/>
                <w:numId w:val="6"/>
              </w:numPr>
              <w:rPr>
                <w:sz w:val="22"/>
                <w:szCs w:val="22"/>
              </w:rPr>
            </w:pPr>
            <w:r>
              <w:rPr>
                <w:sz w:val="22"/>
                <w:szCs w:val="22"/>
              </w:rPr>
              <w:t xml:space="preserve">Evidence of </w:t>
            </w:r>
            <w:r>
              <w:rPr>
                <w:rStyle w:val="21"/>
                <w:rFonts w:eastAsiaTheme="majorEastAsia"/>
                <w:b w:val="0"/>
                <w:bCs w:val="0"/>
                <w:sz w:val="22"/>
                <w:szCs w:val="22"/>
              </w:rPr>
              <w:t>past performance</w:t>
            </w:r>
            <w:r>
              <w:rPr>
                <w:sz w:val="22"/>
                <w:szCs w:val="22"/>
              </w:rPr>
              <w:t xml:space="preserve"> in similar assignments (sample reports, references, or contracts).</w:t>
            </w:r>
          </w:p>
          <w:p w14:paraId="494C94AF">
            <w:pPr>
              <w:pStyle w:val="20"/>
              <w:rPr>
                <w:rFonts w:hint="default"/>
                <w:sz w:val="22"/>
                <w:szCs w:val="22"/>
                <w:lang w:val="en-US"/>
              </w:rPr>
            </w:pPr>
            <w:r>
              <w:rPr>
                <w:sz w:val="22"/>
                <w:szCs w:val="22"/>
              </w:rPr>
              <w:t xml:space="preserve">All submissions must be sent </w:t>
            </w:r>
            <w:r>
              <w:rPr>
                <w:rStyle w:val="21"/>
                <w:rFonts w:eastAsiaTheme="majorEastAsia"/>
                <w:color w:val="FF3300"/>
                <w:sz w:val="22"/>
                <w:szCs w:val="22"/>
              </w:rPr>
              <w:t>via email</w:t>
            </w:r>
            <w:r>
              <w:rPr>
                <w:rStyle w:val="21"/>
                <w:rFonts w:eastAsiaTheme="majorEastAsia"/>
                <w:sz w:val="22"/>
                <w:szCs w:val="22"/>
              </w:rPr>
              <w:t xml:space="preserve"> </w:t>
            </w:r>
            <w:r>
              <w:rPr>
                <w:sz w:val="22"/>
                <w:szCs w:val="22"/>
              </w:rPr>
              <w:t xml:space="preserve">to </w:t>
            </w:r>
            <w:r>
              <w:rPr>
                <w:rStyle w:val="21"/>
                <w:rFonts w:eastAsiaTheme="majorEastAsia"/>
                <w:color w:val="FF3300"/>
                <w:sz w:val="22"/>
                <w:szCs w:val="22"/>
              </w:rPr>
              <w:fldChar w:fldCharType="begin"/>
            </w:r>
            <w:r>
              <w:rPr>
                <w:rStyle w:val="21"/>
                <w:rFonts w:eastAsiaTheme="majorEastAsia"/>
                <w:color w:val="FF3300"/>
                <w:sz w:val="22"/>
                <w:szCs w:val="22"/>
              </w:rPr>
              <w:instrText xml:space="preserve"> HYPERLINK "mailto:maldonakarway1@gmail.com" </w:instrText>
            </w:r>
            <w:r>
              <w:rPr>
                <w:rStyle w:val="21"/>
                <w:rFonts w:eastAsiaTheme="majorEastAsia"/>
                <w:color w:val="FF3300"/>
                <w:sz w:val="22"/>
                <w:szCs w:val="22"/>
              </w:rPr>
              <w:fldChar w:fldCharType="separate"/>
            </w:r>
            <w:r>
              <w:rPr>
                <w:rStyle w:val="19"/>
                <w:rFonts w:eastAsiaTheme="majorEastAsia"/>
                <w:b/>
                <w:bCs/>
                <w:sz w:val="22"/>
                <w:szCs w:val="22"/>
              </w:rPr>
              <w:t>maldonakarway1@gmail.com</w:t>
            </w:r>
            <w:r>
              <w:rPr>
                <w:rStyle w:val="21"/>
                <w:rFonts w:eastAsiaTheme="majorEastAsia"/>
                <w:color w:val="FF3300"/>
                <w:sz w:val="22"/>
                <w:szCs w:val="22"/>
              </w:rPr>
              <w:fldChar w:fldCharType="end"/>
            </w:r>
            <w:r>
              <w:rPr>
                <w:rStyle w:val="21"/>
                <w:rFonts w:hint="default" w:eastAsiaTheme="majorEastAsia"/>
                <w:color w:val="FF3300"/>
                <w:sz w:val="22"/>
                <w:szCs w:val="22"/>
                <w:lang w:val="en-US"/>
              </w:rPr>
              <w:t xml:space="preserve"> and cc: </w:t>
            </w:r>
            <w:r>
              <w:rPr>
                <w:rStyle w:val="21"/>
                <w:rFonts w:hint="default" w:eastAsiaTheme="majorEastAsia"/>
                <w:color w:val="FF3300"/>
                <w:sz w:val="22"/>
                <w:szCs w:val="22"/>
                <w:lang w:val="en-US"/>
              </w:rPr>
              <w:fldChar w:fldCharType="begin"/>
            </w:r>
            <w:r>
              <w:rPr>
                <w:rStyle w:val="21"/>
                <w:rFonts w:hint="default" w:eastAsiaTheme="majorEastAsia"/>
                <w:color w:val="FF3300"/>
                <w:sz w:val="22"/>
                <w:szCs w:val="22"/>
                <w:lang w:val="en-US"/>
              </w:rPr>
              <w:instrText xml:space="preserve"> HYPERLINK "mailto:princessblango@gmail.com" </w:instrText>
            </w:r>
            <w:r>
              <w:rPr>
                <w:rStyle w:val="21"/>
                <w:rFonts w:hint="default" w:eastAsiaTheme="majorEastAsia"/>
                <w:color w:val="FF3300"/>
                <w:sz w:val="22"/>
                <w:szCs w:val="22"/>
                <w:lang w:val="en-US"/>
              </w:rPr>
              <w:fldChar w:fldCharType="separate"/>
            </w:r>
            <w:r>
              <w:rPr>
                <w:rStyle w:val="19"/>
                <w:rFonts w:hint="default" w:eastAsiaTheme="majorEastAsia"/>
                <w:b/>
                <w:bCs/>
                <w:sz w:val="22"/>
                <w:szCs w:val="22"/>
                <w:lang w:val="en-US"/>
              </w:rPr>
              <w:t>princessblango@gmail</w:t>
            </w:r>
            <w:r>
              <w:rPr>
                <w:rStyle w:val="19"/>
                <w:sz w:val="22"/>
                <w:szCs w:val="22"/>
              </w:rPr>
              <w:t>.</w:t>
            </w:r>
            <w:r>
              <w:rPr>
                <w:rStyle w:val="19"/>
                <w:rFonts w:hint="default"/>
                <w:sz w:val="22"/>
                <w:szCs w:val="22"/>
                <w:lang w:val="en-US"/>
              </w:rPr>
              <w:t>com</w:t>
            </w:r>
            <w:r>
              <w:rPr>
                <w:rStyle w:val="21"/>
                <w:rFonts w:hint="default" w:eastAsiaTheme="majorEastAsia"/>
                <w:color w:val="FF3300"/>
                <w:sz w:val="22"/>
                <w:szCs w:val="22"/>
                <w:lang w:val="en-US"/>
              </w:rPr>
              <w:fldChar w:fldCharType="end"/>
            </w:r>
            <w:r>
              <w:rPr>
                <w:rFonts w:hint="default"/>
                <w:sz w:val="22"/>
                <w:szCs w:val="22"/>
                <w:lang w:val="en-US"/>
              </w:rPr>
              <w:t xml:space="preserve"> </w:t>
            </w:r>
          </w:p>
          <w:p w14:paraId="4CE78DB3">
            <w:pPr>
              <w:pStyle w:val="20"/>
              <w:rPr>
                <w:rStyle w:val="21"/>
                <w:rFonts w:eastAsiaTheme="majorEastAsia"/>
                <w:sz w:val="22"/>
                <w:szCs w:val="22"/>
              </w:rPr>
            </w:pPr>
            <w:r>
              <w:rPr>
                <w:rFonts w:hint="default"/>
                <w:sz w:val="22"/>
                <w:szCs w:val="22"/>
                <w:lang w:val="en-US"/>
              </w:rPr>
              <w:t>Please indicate</w:t>
            </w:r>
            <w:r>
              <w:rPr>
                <w:rStyle w:val="21"/>
                <w:rFonts w:eastAsiaTheme="majorEastAsia"/>
                <w:sz w:val="22"/>
                <w:szCs w:val="22"/>
              </w:rPr>
              <w:t xml:space="preserve"> </w:t>
            </w:r>
            <w:r>
              <w:rPr>
                <w:rStyle w:val="21"/>
                <w:rFonts w:hint="default" w:eastAsiaTheme="majorEastAsia"/>
                <w:sz w:val="22"/>
                <w:szCs w:val="22"/>
                <w:lang w:val="en-US"/>
              </w:rPr>
              <w:t>“</w:t>
            </w:r>
            <w:r>
              <w:rPr>
                <w:rStyle w:val="21"/>
                <w:rFonts w:eastAsiaTheme="majorEastAsia"/>
                <w:sz w:val="22"/>
                <w:szCs w:val="22"/>
              </w:rPr>
              <w:t>International Consultant</w:t>
            </w:r>
            <w:r>
              <w:rPr>
                <w:rStyle w:val="21"/>
                <w:rFonts w:hint="default" w:eastAsiaTheme="majorEastAsia"/>
                <w:sz w:val="22"/>
                <w:szCs w:val="22"/>
                <w:lang w:val="en-US"/>
              </w:rPr>
              <w:t xml:space="preserve"> for</w:t>
            </w:r>
            <w:r>
              <w:rPr>
                <w:rStyle w:val="21"/>
                <w:rFonts w:eastAsiaTheme="majorEastAsia"/>
                <w:sz w:val="22"/>
                <w:szCs w:val="22"/>
              </w:rPr>
              <w:t xml:space="preserve"> Establishment of a Community-Based Coastal Ecosystem Monitoring Programme”</w:t>
            </w:r>
            <w:r>
              <w:rPr>
                <w:rStyle w:val="21"/>
                <w:rFonts w:hint="default" w:eastAsiaTheme="majorEastAsia"/>
                <w:b w:val="0"/>
                <w:bCs w:val="0"/>
                <w:sz w:val="22"/>
                <w:szCs w:val="22"/>
                <w:lang w:val="en-US"/>
              </w:rPr>
              <w:t xml:space="preserve"> </w:t>
            </w:r>
            <w:r>
              <w:rPr>
                <w:rFonts w:ascii="Times New Roman" w:hAnsi="Times New Roman" w:cs="Times New Roman"/>
                <w:b w:val="0"/>
                <w:bCs w:val="0"/>
                <w:sz w:val="24"/>
                <w:szCs w:val="24"/>
              </w:rPr>
              <w:t xml:space="preserve">in the subject line. </w:t>
            </w:r>
          </w:p>
          <w:p w14:paraId="53C6D3C5">
            <w:pPr>
              <w:spacing w:line="276" w:lineRule="auto"/>
              <w:jc w:val="both"/>
              <w:rPr>
                <w:b/>
                <w:bCs/>
                <w:sz w:val="22"/>
                <w:szCs w:val="22"/>
              </w:rPr>
            </w:pPr>
          </w:p>
          <w:p w14:paraId="2F176817">
            <w:pPr>
              <w:spacing w:line="276" w:lineRule="auto"/>
              <w:jc w:val="both"/>
              <w:rPr>
                <w:b/>
                <w:bCs/>
                <w:sz w:val="22"/>
                <w:szCs w:val="22"/>
              </w:rPr>
            </w:pPr>
          </w:p>
          <w:p w14:paraId="17749259">
            <w:pPr>
              <w:spacing w:line="276" w:lineRule="auto"/>
              <w:jc w:val="both"/>
              <w:rPr>
                <w:b/>
                <w:bCs/>
                <w:sz w:val="22"/>
                <w:szCs w:val="22"/>
              </w:rPr>
            </w:pPr>
          </w:p>
          <w:p w14:paraId="3B84D8ED">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ATTENTION:</w:t>
            </w:r>
          </w:p>
          <w:p w14:paraId="439E2C35">
            <w:pPr>
              <w:spacing w:line="276" w:lineRule="auto"/>
              <w:jc w:val="both"/>
              <w:rPr>
                <w:b/>
                <w:bCs/>
                <w:sz w:val="22"/>
                <w:szCs w:val="22"/>
              </w:rPr>
            </w:pPr>
          </w:p>
          <w:p w14:paraId="03A9A251">
            <w:pPr>
              <w:spacing w:line="276" w:lineRule="auto"/>
              <w:jc w:val="both"/>
              <w:rPr>
                <w:b/>
                <w:bCs/>
                <w:sz w:val="22"/>
                <w:szCs w:val="22"/>
              </w:rPr>
            </w:pPr>
            <w:r>
              <w:rPr>
                <w:b/>
                <w:bCs/>
                <w:sz w:val="22"/>
                <w:szCs w:val="22"/>
              </w:rPr>
              <w:t>Maldona K. Karway</w:t>
            </w:r>
          </w:p>
          <w:p w14:paraId="1DC49F25">
            <w:pPr>
              <w:spacing w:line="276" w:lineRule="auto"/>
              <w:jc w:val="both"/>
              <w:rPr>
                <w:b/>
                <w:bCs/>
                <w:sz w:val="22"/>
                <w:szCs w:val="22"/>
              </w:rPr>
            </w:pPr>
            <w:r>
              <w:rPr>
                <w:b/>
                <w:bCs/>
                <w:sz w:val="22"/>
                <w:szCs w:val="22"/>
              </w:rPr>
              <w:t>Procurement Officer</w:t>
            </w:r>
          </w:p>
          <w:p w14:paraId="1B1A1E3E">
            <w:pPr>
              <w:spacing w:line="276" w:lineRule="auto"/>
              <w:jc w:val="both"/>
              <w:rPr>
                <w:b/>
                <w:bCs/>
                <w:sz w:val="22"/>
                <w:szCs w:val="22"/>
              </w:rPr>
            </w:pPr>
            <w:r>
              <w:rPr>
                <w:b/>
                <w:bCs/>
                <w:sz w:val="22"/>
                <w:szCs w:val="22"/>
              </w:rPr>
              <w:t>Project Management Unit</w:t>
            </w:r>
          </w:p>
          <w:p w14:paraId="5406F528">
            <w:pPr>
              <w:spacing w:line="276" w:lineRule="auto"/>
              <w:jc w:val="both"/>
              <w:rPr>
                <w:b/>
                <w:bCs/>
                <w:sz w:val="22"/>
                <w:szCs w:val="22"/>
              </w:rPr>
            </w:pPr>
            <w:r>
              <w:rPr>
                <w:b/>
                <w:bCs/>
                <w:sz w:val="22"/>
                <w:szCs w:val="22"/>
              </w:rPr>
              <w:t>Enhancing the Resilience of Vulnerable Coastal Communities in the Sinoe County Project</w:t>
            </w:r>
          </w:p>
          <w:p w14:paraId="29F7E80F">
            <w:pPr>
              <w:spacing w:line="276" w:lineRule="auto"/>
              <w:jc w:val="both"/>
              <w:rPr>
                <w:rFonts w:eastAsia="Calibri"/>
                <w:b/>
                <w:bCs/>
                <w:sz w:val="22"/>
                <w:szCs w:val="22"/>
              </w:rPr>
            </w:pPr>
            <w:r>
              <w:rPr>
                <w:b/>
                <w:bCs/>
                <w:sz w:val="22"/>
                <w:szCs w:val="22"/>
              </w:rPr>
              <w:t>Environmental Protection Agency</w:t>
            </w:r>
          </w:p>
          <w:p w14:paraId="268E49D6">
            <w:pPr>
              <w:spacing w:after="5" w:line="276" w:lineRule="auto"/>
              <w:jc w:val="both"/>
              <w:rPr>
                <w:b/>
                <w:bCs/>
                <w:sz w:val="22"/>
                <w:szCs w:val="22"/>
              </w:rPr>
            </w:pPr>
            <w:r>
              <w:rPr>
                <w:b/>
                <w:bCs/>
                <w:sz w:val="22"/>
                <w:szCs w:val="22"/>
              </w:rPr>
              <w:t>302-A Bright Building,</w:t>
            </w:r>
          </w:p>
          <w:p w14:paraId="3BB36E09">
            <w:pPr>
              <w:spacing w:after="5" w:line="276" w:lineRule="auto"/>
              <w:jc w:val="both"/>
              <w:rPr>
                <w:b/>
                <w:bCs/>
                <w:sz w:val="22"/>
                <w:szCs w:val="22"/>
              </w:rPr>
            </w:pPr>
            <w:r>
              <w:rPr>
                <w:b/>
                <w:bCs/>
                <w:sz w:val="22"/>
                <w:szCs w:val="22"/>
              </w:rPr>
              <w:t xml:space="preserve">Old CID-Road, Mamba Point </w:t>
            </w:r>
          </w:p>
          <w:p w14:paraId="4F7CD950">
            <w:pPr>
              <w:spacing w:after="5" w:line="276" w:lineRule="auto"/>
              <w:jc w:val="both"/>
              <w:rPr>
                <w:b/>
                <w:bCs/>
                <w:sz w:val="22"/>
                <w:szCs w:val="22"/>
              </w:rPr>
            </w:pPr>
            <w:r>
              <w:rPr>
                <w:b/>
                <w:bCs/>
                <w:sz w:val="22"/>
                <w:szCs w:val="22"/>
              </w:rPr>
              <w:t xml:space="preserve">1000 Monrovia, 10 Liberia </w:t>
            </w:r>
          </w:p>
          <w:p w14:paraId="79ACEC0A">
            <w:pPr>
              <w:spacing w:after="5" w:line="276" w:lineRule="auto"/>
              <w:jc w:val="both"/>
              <w:rPr>
                <w:b/>
                <w:bCs/>
                <w:sz w:val="22"/>
                <w:szCs w:val="22"/>
              </w:rPr>
            </w:pPr>
          </w:p>
          <w:p w14:paraId="2D15D13A">
            <w:pPr>
              <w:widowControl w:val="0"/>
              <w:spacing w:after="0" w:line="276" w:lineRule="auto"/>
              <w:jc w:val="both"/>
              <w:rPr>
                <w:rFonts w:ascii="Times New Roman" w:hAnsi="Times New Roman" w:eastAsia="Times New Roman" w:cs="Times New Roman"/>
                <w:b/>
                <w:sz w:val="24"/>
                <w:szCs w:val="24"/>
              </w:rPr>
            </w:pPr>
            <w:r>
              <w:rPr>
                <w:rFonts w:ascii="Times New Roman" w:hAnsi="Times New Roman" w:cs="Times New Roman"/>
                <w:b/>
                <w:bCs/>
                <w:color w:val="FF0000"/>
                <w:sz w:val="24"/>
                <w:szCs w:val="24"/>
              </w:rPr>
              <w:t>*Female candidates are highly encouraged to apply!</w:t>
            </w:r>
          </w:p>
          <w:p w14:paraId="390876F0">
            <w:pPr>
              <w:widowControl w:val="0"/>
              <w:spacing w:after="20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closing date for submission of applications is 4:00 PM on </w:t>
            </w:r>
            <w:r>
              <w:rPr>
                <w:rFonts w:hint="default" w:cs="Times New Roman"/>
                <w:sz w:val="24"/>
                <w:szCs w:val="24"/>
                <w:lang w:val="en-US"/>
              </w:rPr>
              <w:t>October</w:t>
            </w:r>
            <w:r>
              <w:rPr>
                <w:rFonts w:ascii="Times New Roman" w:hAnsi="Times New Roman" w:eastAsia="Times New Roman" w:cs="Times New Roman"/>
                <w:sz w:val="24"/>
                <w:szCs w:val="24"/>
              </w:rPr>
              <w:t xml:space="preserve"> </w:t>
            </w:r>
            <w:r>
              <w:rPr>
                <w:rFonts w:hint="default" w:cs="Times New Roman"/>
                <w:sz w:val="24"/>
                <w:szCs w:val="24"/>
                <w:lang w:val="en-US"/>
              </w:rPr>
              <w:t>8</w:t>
            </w:r>
            <w:r>
              <w:rPr>
                <w:rFonts w:ascii="Times New Roman" w:hAnsi="Times New Roman" w:eastAsia="Times New Roman" w:cs="Times New Roman"/>
                <w:sz w:val="24"/>
                <w:szCs w:val="24"/>
              </w:rPr>
              <w:t xml:space="preserve">, 2025. Any submission received after this deadline will not be considered. Only applicants who meet the requirements as outlined in the terms of reference will be considered for evaluation. </w:t>
            </w:r>
          </w:p>
          <w:p w14:paraId="44C4AE4D">
            <w:pPr>
              <w:rPr>
                <w:sz w:val="22"/>
                <w:szCs w:val="22"/>
              </w:rPr>
            </w:pPr>
            <w:r>
              <w:rPr>
                <w:rFonts w:ascii="Times New Roman" w:hAnsi="Times New Roman" w:eastAsia="Times New Roman" w:cs="Times New Roman"/>
                <w:sz w:val="24"/>
                <w:szCs w:val="24"/>
              </w:rPr>
              <w:t xml:space="preserve">NOTE: This information is also posted on </w:t>
            </w:r>
            <w:r>
              <w:fldChar w:fldCharType="begin"/>
            </w:r>
            <w:r>
              <w:instrText xml:space="preserve"> HYPERLINK "https://www.emansion.gov.lr/" </w:instrText>
            </w:r>
            <w:r>
              <w:fldChar w:fldCharType="separate"/>
            </w:r>
            <w:r>
              <w:rPr>
                <w:rStyle w:val="19"/>
                <w:rFonts w:ascii="Times New Roman" w:hAnsi="Times New Roman" w:eastAsia="Times New Roman" w:cs="Times New Roman"/>
                <w:sz w:val="24"/>
                <w:szCs w:val="24"/>
              </w:rPr>
              <w:t>https://www.emansion.gov.lr/</w:t>
            </w:r>
            <w:r>
              <w:rPr>
                <w:rStyle w:val="19"/>
                <w:rFonts w:ascii="Times New Roman" w:hAnsi="Times New Roman" w:eastAsia="Times New Roman" w:cs="Times New Roman"/>
                <w:sz w:val="24"/>
                <w:szCs w:val="24"/>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"https://www.epa.gov.lr/" \h </w:instrText>
            </w:r>
            <w:r>
              <w:fldChar w:fldCharType="separate"/>
            </w:r>
            <w:r>
              <w:rPr>
                <w:rFonts w:ascii="Times New Roman" w:hAnsi="Times New Roman" w:eastAsia="Times New Roman" w:cs="Times New Roman"/>
                <w:color w:val="00B0F0"/>
                <w:sz w:val="24"/>
                <w:szCs w:val="24"/>
                <w:u w:val="single"/>
              </w:rPr>
              <w:t>https://www.epa.gov.lr/</w:t>
            </w:r>
            <w:r>
              <w:rPr>
                <w:rFonts w:ascii="Times New Roman" w:hAnsi="Times New Roman" w:eastAsia="Times New Roman" w:cs="Times New Roman"/>
                <w:color w:val="00B0F0"/>
                <w:sz w:val="24"/>
                <w:szCs w:val="24"/>
                <w:u w:val="single"/>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"https://www.undp.org/" \h </w:instrText>
            </w:r>
            <w:r>
              <w:fldChar w:fldCharType="separate"/>
            </w:r>
            <w:r>
              <w:rPr>
                <w:rFonts w:ascii="Times New Roman" w:hAnsi="Times New Roman" w:eastAsia="Times New Roman" w:cs="Times New Roman"/>
                <w:color w:val="00B0F0"/>
                <w:sz w:val="24"/>
                <w:szCs w:val="24"/>
                <w:u w:val="single"/>
              </w:rPr>
              <w:t>https://www.undp.org/</w:t>
            </w:r>
            <w:r>
              <w:rPr>
                <w:rFonts w:ascii="Times New Roman" w:hAnsi="Times New Roman" w:eastAsia="Times New Roman" w:cs="Times New Roman"/>
                <w:color w:val="00B0F0"/>
                <w:sz w:val="24"/>
                <w:szCs w:val="24"/>
                <w:u w:val="single"/>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"http://www.mme.gov.lr" </w:instrText>
            </w:r>
            <w:r>
              <w:fldChar w:fldCharType="separate"/>
            </w:r>
            <w:r>
              <w:rPr>
                <w:rStyle w:val="19"/>
                <w:rFonts w:ascii="Times New Roman" w:hAnsi="Times New Roman" w:cs="Times New Roman"/>
                <w:color w:val="00B0F0"/>
                <w:sz w:val="24"/>
                <w:szCs w:val="24"/>
              </w:rPr>
              <w:t>www.mme.gov.lr</w:t>
            </w:r>
            <w:r>
              <w:rPr>
                <w:rStyle w:val="19"/>
                <w:rFonts w:ascii="Times New Roman" w:hAnsi="Times New Roman" w:cs="Times New Roman"/>
                <w:color w:val="00B0F0"/>
                <w:sz w:val="24"/>
                <w:szCs w:val="24"/>
              </w:rPr>
              <w:fldChar w:fldCharType="end"/>
            </w:r>
            <w:r>
              <w:rPr>
                <w:rFonts w:ascii="Times New Roman" w:hAnsi="Times New Roman" w:eastAsia="Times New Roman" w:cs="Times New Roman"/>
                <w:color w:val="00B0F0"/>
                <w:sz w:val="24"/>
                <w:szCs w:val="24"/>
              </w:rPr>
              <w:t xml:space="preserve"> </w:t>
            </w:r>
            <w:r>
              <w:rPr>
                <w:rFonts w:ascii="Times New Roman" w:hAnsi="Times New Roman" w:eastAsia="Times New Roman" w:cs="Times New Roman"/>
                <w:sz w:val="24"/>
                <w:szCs w:val="24"/>
              </w:rPr>
              <w:t>and can be found in local dailies.</w:t>
            </w:r>
          </w:p>
        </w:tc>
      </w:tr>
      <w:bookmarkEnd w:id="0"/>
    </w:tbl>
    <w:p w14:paraId="41314C61"/>
    <w:sectPr>
      <w:headerReference r:id="rId5" w:type="default"/>
      <w:footerReference r:id="rId6"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A231C">
    <w:pPr>
      <w:pStyle w:val="17"/>
    </w:pPr>
  </w:p>
  <w:p w14:paraId="24B26DBB">
    <w:pPr>
      <w:pStyle w:val="17"/>
    </w:pPr>
  </w:p>
  <w:p w14:paraId="62A08FC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26A5">
    <w:pPr>
      <w:jc w:val="center"/>
      <w:rPr>
        <w:b/>
        <w:color w:val="000000"/>
        <w:spacing w:val="-5"/>
        <w:lang w:val="en-ZA"/>
      </w:rPr>
    </w:pPr>
    <w:r>
      <w:rPr>
        <w14:ligatures w14:val="standardContextual"/>
      </w:rPr>
      <w:drawing>
        <wp:anchor distT="0" distB="0" distL="114300" distR="114300" simplePos="0" relativeHeight="251660288" behindDoc="0" locked="0" layoutInCell="1" allowOverlap="1">
          <wp:simplePos x="0" y="0"/>
          <wp:positionH relativeFrom="column">
            <wp:posOffset>5575300</wp:posOffset>
          </wp:positionH>
          <wp:positionV relativeFrom="paragraph">
            <wp:posOffset>7620</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595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anchor>
      </w:drawing>
    </w:r>
    <w:r>
      <w:rPr>
        <w14:ligatures w14:val="standardContextual"/>
      </w:rPr>
      <w:drawing>
        <wp:anchor distT="0" distB="0" distL="114300" distR="114300" simplePos="0" relativeHeight="251659264" behindDoc="0" locked="0" layoutInCell="1" allowOverlap="1">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69657"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anchor>
      </w:drawing>
    </w:r>
    <w:r>
      <w:rPr>
        <w:b/>
        <w:color w:val="000000"/>
        <w:spacing w:val="-5"/>
        <w:lang w:val="en-ZA"/>
      </w:rPr>
      <w:t>REPUBLIC OF LIBERIA</w:t>
    </w:r>
  </w:p>
  <w:p w14:paraId="20174B3B">
    <w:pPr>
      <w:tabs>
        <w:tab w:val="left" w:pos="1040"/>
        <w:tab w:val="center" w:pos="4513"/>
      </w:tabs>
      <w:rPr>
        <w:rFonts w:ascii="Arial Black" w:hAnsi="Arial Black"/>
        <w:b/>
        <w:bCs/>
        <w:color w:val="000000"/>
        <w:spacing w:val="-5"/>
        <w:lang w:val="en-ZA"/>
      </w:rPr>
    </w:pPr>
    <w:r>
      <w:rPr>
        <w:b/>
        <w:bCs/>
        <w:color w:val="000000"/>
        <w:spacing w:val="-5"/>
        <w:lang w:val="en-ZA"/>
      </w:rPr>
      <w:tab/>
    </w:r>
    <w:r>
      <w:rPr>
        <w:b/>
        <w:bCs/>
        <w:color w:val="000000"/>
        <w:spacing w:val="-5"/>
        <w:lang w:val="en-ZA"/>
      </w:rPr>
      <w:tab/>
    </w:r>
    <w:r>
      <w:rPr>
        <w:b/>
        <w:bCs/>
        <w:color w:val="000000"/>
        <w:spacing w:val="-5"/>
        <w:lang w:val="en-ZA"/>
      </w:rPr>
      <w:t>ENVIRONMENTAL PROTECTION AGENCY (EPA)</w:t>
    </w:r>
  </w:p>
  <w:p w14:paraId="38ADCE42">
    <w:pPr>
      <w:jc w:val="center"/>
      <w:rPr>
        <w:b/>
        <w:bCs/>
        <w:color w:val="000000"/>
        <w:spacing w:val="-5"/>
        <w:lang w:val="en-ZA"/>
      </w:rPr>
    </w:pPr>
    <w:r>
      <w:rPr>
        <w:b/>
        <w:bCs/>
        <w:color w:val="000000"/>
        <w:spacing w:val="-5"/>
        <w:lang w:val="en-ZA"/>
      </w:rPr>
      <w:t>1000 Monrovia, 10 Liberia</w:t>
    </w:r>
  </w:p>
  <w:p w14:paraId="7ECE79D0">
    <w:pPr>
      <w:pBdr>
        <w:bottom w:val="single" w:color="auto" w:sz="12" w:space="1"/>
      </w:pBdr>
      <w:jc w:val="center"/>
      <w:rPr>
        <w:b/>
        <w:bCs/>
        <w:color w:val="000000"/>
        <w:spacing w:val="-5"/>
        <w:lang w:val="en-ZA"/>
      </w:rPr>
    </w:pPr>
    <w:r>
      <w:rPr>
        <w:b/>
        <w:bCs/>
        <w:color w:val="000000"/>
        <w:spacing w:val="-5"/>
        <w:lang w:val="en-ZA"/>
      </w:rPr>
      <w:t>P.O. Box 4024</w:t>
    </w:r>
  </w:p>
  <w:p w14:paraId="52241779">
    <w:pPr>
      <w:pStyle w:val="38"/>
      <w:ind w:left="1080"/>
      <w:rPr>
        <w:b/>
        <w:bCs/>
      </w:rPr>
    </w:pPr>
  </w:p>
  <w:p w14:paraId="68797557">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A76DD"/>
    <w:multiLevelType w:val="multilevel"/>
    <w:tmpl w:val="2CCA76D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7C80528"/>
    <w:multiLevelType w:val="multilevel"/>
    <w:tmpl w:val="47C805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B756591"/>
    <w:multiLevelType w:val="multilevel"/>
    <w:tmpl w:val="5B7565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E645FA5"/>
    <w:multiLevelType w:val="multilevel"/>
    <w:tmpl w:val="5E645F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39E3890"/>
    <w:multiLevelType w:val="multilevel"/>
    <w:tmpl w:val="739E389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5465D96"/>
    <w:multiLevelType w:val="multilevel"/>
    <w:tmpl w:val="75465D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DD"/>
    <w:rsid w:val="0012051C"/>
    <w:rsid w:val="0013644F"/>
    <w:rsid w:val="00172F38"/>
    <w:rsid w:val="001A7AB0"/>
    <w:rsid w:val="00262EF3"/>
    <w:rsid w:val="00273984"/>
    <w:rsid w:val="00286ADD"/>
    <w:rsid w:val="00292442"/>
    <w:rsid w:val="002F21BA"/>
    <w:rsid w:val="003052D0"/>
    <w:rsid w:val="00343CD0"/>
    <w:rsid w:val="00353C41"/>
    <w:rsid w:val="003C42B8"/>
    <w:rsid w:val="003D5328"/>
    <w:rsid w:val="003E0BF0"/>
    <w:rsid w:val="00400EA9"/>
    <w:rsid w:val="004430C2"/>
    <w:rsid w:val="0045419A"/>
    <w:rsid w:val="00454CB5"/>
    <w:rsid w:val="00457FED"/>
    <w:rsid w:val="005028B9"/>
    <w:rsid w:val="00502C8C"/>
    <w:rsid w:val="00503E55"/>
    <w:rsid w:val="00523729"/>
    <w:rsid w:val="00580D32"/>
    <w:rsid w:val="005C4CC2"/>
    <w:rsid w:val="006064D7"/>
    <w:rsid w:val="00691EE3"/>
    <w:rsid w:val="006A5F9F"/>
    <w:rsid w:val="006A6B33"/>
    <w:rsid w:val="007234CD"/>
    <w:rsid w:val="00744256"/>
    <w:rsid w:val="007579BA"/>
    <w:rsid w:val="00760D7B"/>
    <w:rsid w:val="007848A7"/>
    <w:rsid w:val="00792F84"/>
    <w:rsid w:val="007A2ADD"/>
    <w:rsid w:val="007C7198"/>
    <w:rsid w:val="00813D92"/>
    <w:rsid w:val="00820B38"/>
    <w:rsid w:val="00850CE5"/>
    <w:rsid w:val="008852A3"/>
    <w:rsid w:val="0090301A"/>
    <w:rsid w:val="009379A1"/>
    <w:rsid w:val="009D5BDB"/>
    <w:rsid w:val="00B10999"/>
    <w:rsid w:val="00B1323E"/>
    <w:rsid w:val="00B16239"/>
    <w:rsid w:val="00B1668B"/>
    <w:rsid w:val="00C05365"/>
    <w:rsid w:val="00CB182D"/>
    <w:rsid w:val="00CD274D"/>
    <w:rsid w:val="00D54CA0"/>
    <w:rsid w:val="00D6596B"/>
    <w:rsid w:val="00DB59D4"/>
    <w:rsid w:val="00DF26B7"/>
    <w:rsid w:val="00DF786A"/>
    <w:rsid w:val="00F933A8"/>
    <w:rsid w:val="188237B7"/>
    <w:rsid w:val="23985936"/>
    <w:rsid w:val="3D272FE2"/>
    <w:rsid w:val="58A7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next w:val="1"/>
    <w:link w:val="2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0"/>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9"/>
    <w:semiHidden/>
    <w:unhideWhenUsed/>
    <w:qFormat/>
    <w:uiPriority w:val="99"/>
    <w:rPr>
      <w:rFonts w:ascii="Segoe UI" w:hAnsi="Segoe UI" w:cs="Segoe UI"/>
      <w:sz w:val="18"/>
      <w:szCs w:val="18"/>
    </w:rPr>
  </w:style>
  <w:style w:type="character" w:styleId="14">
    <w:name w:val="annotation reference"/>
    <w:basedOn w:val="11"/>
    <w:semiHidden/>
    <w:unhideWhenUsed/>
    <w:uiPriority w:val="99"/>
    <w:rPr>
      <w:sz w:val="16"/>
      <w:szCs w:val="16"/>
    </w:rPr>
  </w:style>
  <w:style w:type="paragraph" w:styleId="15">
    <w:name w:val="annotation text"/>
    <w:basedOn w:val="1"/>
    <w:link w:val="47"/>
    <w:semiHidden/>
    <w:unhideWhenUsed/>
    <w:uiPriority w:val="99"/>
    <w:rPr>
      <w:sz w:val="20"/>
      <w:szCs w:val="20"/>
    </w:rPr>
  </w:style>
  <w:style w:type="paragraph" w:styleId="16">
    <w:name w:val="annotation subject"/>
    <w:basedOn w:val="15"/>
    <w:next w:val="15"/>
    <w:link w:val="48"/>
    <w:semiHidden/>
    <w:unhideWhenUsed/>
    <w:uiPriority w:val="99"/>
    <w:rPr>
      <w:b/>
      <w:bCs/>
    </w:rPr>
  </w:style>
  <w:style w:type="paragraph" w:styleId="17">
    <w:name w:val="footer"/>
    <w:basedOn w:val="1"/>
    <w:link w:val="45"/>
    <w:unhideWhenUsed/>
    <w:uiPriority w:val="99"/>
    <w:pPr>
      <w:tabs>
        <w:tab w:val="center" w:pos="4680"/>
        <w:tab w:val="right" w:pos="9360"/>
      </w:tabs>
    </w:pPr>
  </w:style>
  <w:style w:type="paragraph" w:styleId="18">
    <w:name w:val="header"/>
    <w:basedOn w:val="1"/>
    <w:link w:val="44"/>
    <w:unhideWhenUsed/>
    <w:uiPriority w:val="99"/>
    <w:pPr>
      <w:tabs>
        <w:tab w:val="center" w:pos="4680"/>
        <w:tab w:val="right" w:pos="9360"/>
      </w:tabs>
    </w:pPr>
  </w:style>
  <w:style w:type="character" w:styleId="19">
    <w:name w:val="Hyperlink"/>
    <w:basedOn w:val="11"/>
    <w:unhideWhenUsed/>
    <w:uiPriority w:val="99"/>
    <w:rPr>
      <w:color w:val="467886" w:themeColor="hyperlink"/>
      <w:u w:val="single"/>
      <w14:textFill>
        <w14:solidFill>
          <w14:schemeClr w14:val="hlink"/>
        </w14:solidFill>
      </w14:textFill>
    </w:rPr>
  </w:style>
  <w:style w:type="paragraph" w:styleId="20">
    <w:name w:val="Normal (Web)"/>
    <w:basedOn w:val="1"/>
    <w:unhideWhenUsed/>
    <w:uiPriority w:val="99"/>
    <w:pPr>
      <w:spacing w:before="100" w:beforeAutospacing="1" w:after="100" w:afterAutospacing="1"/>
    </w:pPr>
  </w:style>
  <w:style w:type="character" w:styleId="21">
    <w:name w:val="Strong"/>
    <w:basedOn w:val="11"/>
    <w:qFormat/>
    <w:uiPriority w:val="22"/>
    <w:rPr>
      <w:b/>
      <w:bCs/>
    </w:rPr>
  </w:style>
  <w:style w:type="paragraph" w:styleId="22">
    <w:name w:val="Subtitle"/>
    <w:basedOn w:val="1"/>
    <w:next w:val="1"/>
    <w:link w:val="3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3">
    <w:name w:val="Table Grid"/>
    <w:basedOn w:val="12"/>
    <w:uiPriority w:val="3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4">
    <w:name w:val="Title"/>
    <w:basedOn w:val="1"/>
    <w:next w:val="1"/>
    <w:link w:val="34"/>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6">
    <w:name w:val="Heading 2 Char"/>
    <w:basedOn w:val="11"/>
    <w:link w:val="3"/>
    <w:uiPriority w:val="9"/>
    <w:rPr>
      <w:rFonts w:asciiTheme="majorHAnsi" w:hAnsiTheme="majorHAnsi" w:eastAsiaTheme="majorEastAsia" w:cstheme="majorBidi"/>
      <w:color w:val="104862" w:themeColor="accent1" w:themeShade="BF"/>
      <w:sz w:val="32"/>
      <w:szCs w:val="32"/>
    </w:rPr>
  </w:style>
  <w:style w:type="character" w:customStyle="1" w:styleId="27">
    <w:name w:val="Heading 3 Char"/>
    <w:basedOn w:val="11"/>
    <w:link w:val="4"/>
    <w:uiPriority w:val="9"/>
    <w:rPr>
      <w:rFonts w:eastAsiaTheme="majorEastAsia" w:cstheme="majorBidi"/>
      <w:color w:val="104862" w:themeColor="accent1" w:themeShade="BF"/>
      <w:sz w:val="28"/>
      <w:szCs w:val="28"/>
    </w:rPr>
  </w:style>
  <w:style w:type="character" w:customStyle="1" w:styleId="28">
    <w:name w:val="Heading 4 Char"/>
    <w:basedOn w:val="11"/>
    <w:link w:val="5"/>
    <w:semiHidden/>
    <w:uiPriority w:val="9"/>
    <w:rPr>
      <w:rFonts w:eastAsiaTheme="majorEastAsia" w:cstheme="majorBidi"/>
      <w:i/>
      <w:iCs/>
      <w:color w:val="104862" w:themeColor="accent1" w:themeShade="BF"/>
    </w:rPr>
  </w:style>
  <w:style w:type="character" w:customStyle="1" w:styleId="29">
    <w:name w:val="Heading 5 Char"/>
    <w:basedOn w:val="11"/>
    <w:link w:val="6"/>
    <w:semiHidden/>
    <w:uiPriority w:val="9"/>
    <w:rPr>
      <w:rFonts w:eastAsiaTheme="majorEastAsia" w:cstheme="majorBidi"/>
      <w:color w:val="104862" w:themeColor="accent1" w:themeShade="BF"/>
    </w:rPr>
  </w:style>
  <w:style w:type="character" w:customStyle="1" w:styleId="3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Title Char"/>
    <w:basedOn w:val="11"/>
    <w:link w:val="24"/>
    <w:uiPriority w:val="10"/>
    <w:rPr>
      <w:rFonts w:asciiTheme="majorHAnsi" w:hAnsiTheme="majorHAnsi" w:eastAsiaTheme="majorEastAsia" w:cstheme="majorBidi"/>
      <w:spacing w:val="-10"/>
      <w:kern w:val="28"/>
      <w:sz w:val="56"/>
      <w:szCs w:val="56"/>
    </w:rPr>
  </w:style>
  <w:style w:type="character" w:customStyle="1" w:styleId="35">
    <w:name w:val="Subtitle Char"/>
    <w:basedOn w:val="11"/>
    <w:link w:val="2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11"/>
    <w:link w:val="36"/>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link w:val="43"/>
    <w:qFormat/>
    <w:uiPriority w:val="34"/>
    <w:pPr>
      <w:ind w:left="720"/>
      <w:contextualSpacing/>
    </w:pPr>
  </w:style>
  <w:style w:type="character" w:customStyle="1" w:styleId="39">
    <w:name w:val="Intense Emphasis"/>
    <w:basedOn w:val="11"/>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Intense Quote Char"/>
    <w:basedOn w:val="11"/>
    <w:link w:val="40"/>
    <w:uiPriority w:val="30"/>
    <w:rPr>
      <w:i/>
      <w:iCs/>
      <w:color w:val="104862" w:themeColor="accent1" w:themeShade="BF"/>
    </w:rPr>
  </w:style>
  <w:style w:type="character" w:customStyle="1" w:styleId="42">
    <w:name w:val="Intense Reference"/>
    <w:basedOn w:val="11"/>
    <w:qFormat/>
    <w:uiPriority w:val="32"/>
    <w:rPr>
      <w:b/>
      <w:bCs/>
      <w:smallCaps/>
      <w:color w:val="104862" w:themeColor="accent1" w:themeShade="BF"/>
      <w:spacing w:val="5"/>
    </w:rPr>
  </w:style>
  <w:style w:type="character" w:customStyle="1" w:styleId="43">
    <w:name w:val="List Paragraph Char"/>
    <w:link w:val="38"/>
    <w:qFormat/>
    <w:uiPriority w:val="34"/>
    <w:rPr>
      <w:rFonts w:ascii="Times New Roman" w:hAnsi="Times New Roman" w:eastAsia="Times New Roman" w:cs="Times New Roman"/>
      <w:kern w:val="0"/>
      <w:lang w:val="en-US"/>
      <w14:ligatures w14:val="none"/>
    </w:rPr>
  </w:style>
  <w:style w:type="character" w:customStyle="1" w:styleId="44">
    <w:name w:val="Header Char"/>
    <w:basedOn w:val="11"/>
    <w:link w:val="18"/>
    <w:uiPriority w:val="99"/>
    <w:rPr>
      <w:rFonts w:ascii="Times New Roman" w:hAnsi="Times New Roman" w:eastAsia="Times New Roman" w:cs="Times New Roman"/>
      <w:kern w:val="0"/>
      <w:lang w:val="en-US"/>
      <w14:ligatures w14:val="none"/>
    </w:rPr>
  </w:style>
  <w:style w:type="character" w:customStyle="1" w:styleId="45">
    <w:name w:val="Footer Char"/>
    <w:basedOn w:val="11"/>
    <w:link w:val="17"/>
    <w:uiPriority w:val="99"/>
    <w:rPr>
      <w:rFonts w:ascii="Times New Roman" w:hAnsi="Times New Roman" w:eastAsia="Times New Roman" w:cs="Times New Roman"/>
      <w:kern w:val="0"/>
      <w:lang w:val="en-US"/>
      <w14:ligatures w14:val="none"/>
    </w:rPr>
  </w:style>
  <w:style w:type="paragraph" w:customStyle="1" w:styleId="46">
    <w:name w:val="Revision"/>
    <w:hidden/>
    <w:semiHidden/>
    <w:uiPriority w:val="99"/>
    <w:pPr>
      <w:spacing w:after="0" w:line="240" w:lineRule="auto"/>
    </w:pPr>
    <w:rPr>
      <w:rFonts w:ascii="Times New Roman" w:hAnsi="Times New Roman" w:eastAsia="Times New Roman" w:cs="Times New Roman"/>
      <w:kern w:val="0"/>
      <w:sz w:val="24"/>
      <w:szCs w:val="24"/>
      <w:lang w:val="en-US" w:eastAsia="en-US" w:bidi="ar-SA"/>
      <w14:ligatures w14:val="none"/>
    </w:rPr>
  </w:style>
  <w:style w:type="character" w:customStyle="1" w:styleId="47">
    <w:name w:val="Comment Text Char"/>
    <w:basedOn w:val="11"/>
    <w:link w:val="15"/>
    <w:semiHidden/>
    <w:uiPriority w:val="99"/>
    <w:rPr>
      <w:rFonts w:ascii="Times New Roman" w:hAnsi="Times New Roman" w:eastAsia="Times New Roman" w:cs="Times New Roman"/>
      <w:kern w:val="0"/>
      <w:sz w:val="20"/>
      <w:szCs w:val="20"/>
      <w:lang w:val="en-US"/>
      <w14:ligatures w14:val="none"/>
    </w:rPr>
  </w:style>
  <w:style w:type="character" w:customStyle="1" w:styleId="48">
    <w:name w:val="Comment Subject Char"/>
    <w:basedOn w:val="47"/>
    <w:link w:val="16"/>
    <w:semiHidden/>
    <w:qFormat/>
    <w:uiPriority w:val="99"/>
    <w:rPr>
      <w:rFonts w:ascii="Times New Roman" w:hAnsi="Times New Roman" w:eastAsia="Times New Roman" w:cs="Times New Roman"/>
      <w:b/>
      <w:bCs/>
      <w:kern w:val="0"/>
      <w:sz w:val="20"/>
      <w:szCs w:val="20"/>
      <w:lang w:val="en-US"/>
      <w14:ligatures w14:val="none"/>
    </w:rPr>
  </w:style>
  <w:style w:type="character" w:customStyle="1" w:styleId="49">
    <w:name w:val="Balloon Text Char"/>
    <w:basedOn w:val="11"/>
    <w:link w:val="13"/>
    <w:semiHidden/>
    <w:qFormat/>
    <w:uiPriority w:val="99"/>
    <w:rPr>
      <w:rFonts w:ascii="Segoe UI" w:hAnsi="Segoe UI" w:eastAsia="Times New Roman" w:cs="Segoe UI"/>
      <w:kern w:val="0"/>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1790</Words>
  <Characters>11873</Characters>
  <Lines>242</Lines>
  <Paragraphs>136</Paragraphs>
  <TotalTime>2</TotalTime>
  <ScaleCrop>false</ScaleCrop>
  <LinksUpToDate>false</LinksUpToDate>
  <CharactersWithSpaces>13527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2025-09-08T15:19:00Z</dcterms:created>
  <dc:creator>Kulee Keculah</dc:creator>
  <cp:lastModifiedBy>Maldona K. Karway</cp:lastModifiedBy>
  <dcterms:modified xsi:type="dcterms:W3CDTF">2025-09-18T18:15:08Z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791272cd-10f7-46e2-8b9a-f6fd9ebed7cf</vt:lpwstr>
  </property>
  <property fmtid="{D5CDD505-2E9C-101B-9397-08002B2CF9AE}" pid="3" name="KSOProductBuildVer">
    <vt:lpwstr>1033-12.2.0.21931</vt:lpwstr>
  </property>
  <property fmtid="{D5CDD505-2E9C-101B-9397-08002B2CF9AE}" pid="4" name="ICV">
    <vt:lpwstr>7B71E88E2EEF401F9DC4E026DF14E1C6_12</vt:lpwstr>
  </property>
</Properties>
</file>