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512"/>
        <w:gridCol w:w="7560"/>
        <w:gridCol w:w="1512"/>
      </w:tblGrid>
      <w:tr w:rsidR="00976ACF" w14:paraId="2E92EA47" w14:textId="77777777">
        <w:trPr>
          <w:jc w:val="center"/>
        </w:trPr>
        <w:tc>
          <w:tcPr>
            <w:tcW w:w="1512" w:type="dxa"/>
            <w:tcMar>
              <w:top w:w="0" w:type="dxa"/>
              <w:left w:w="25" w:type="dxa"/>
              <w:bottom w:w="0" w:type="dxa"/>
              <w:right w:w="25" w:type="dxa"/>
            </w:tcMar>
          </w:tcPr>
          <w:p w14:paraId="5069E3BB" w14:textId="77777777" w:rsidR="00976ACF" w:rsidRDefault="00057065">
            <w:r>
              <w:rPr>
                <w:noProof/>
              </w:rPr>
              <w:drawing>
                <wp:inline distT="0" distB="0" distL="0" distR="0" wp14:anchorId="430BA7DA" wp14:editId="3133215A">
                  <wp:extent cx="658368" cy="44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658368" cy="448166"/>
                          </a:xfrm>
                          <a:prstGeom prst="rect">
                            <a:avLst/>
                          </a:prstGeom>
                        </pic:spPr>
                      </pic:pic>
                    </a:graphicData>
                  </a:graphic>
                </wp:inline>
              </w:drawing>
            </w:r>
          </w:p>
        </w:tc>
        <w:tc>
          <w:tcPr>
            <w:tcW w:w="7560" w:type="dxa"/>
            <w:tcMar>
              <w:top w:w="0" w:type="dxa"/>
              <w:left w:w="25" w:type="dxa"/>
              <w:bottom w:w="0" w:type="dxa"/>
              <w:right w:w="25" w:type="dxa"/>
            </w:tcMar>
          </w:tcPr>
          <w:p w14:paraId="09525DAB" w14:textId="77777777" w:rsidR="00976ACF" w:rsidRDefault="00057065">
            <w:pPr>
              <w:jc w:val="center"/>
            </w:pPr>
            <w:r>
              <w:rPr>
                <w:b/>
                <w:color w:val="145A32"/>
                <w:sz w:val="24"/>
              </w:rPr>
              <w:t>ENVIRONMENTAL PROTECTION AGENCY OF LIBERIA (EPA)</w:t>
            </w:r>
            <w:r>
              <w:rPr>
                <w:sz w:val="17"/>
              </w:rPr>
              <w:br/>
              <w:t xml:space="preserve">P.O. BOX 4024 | </w:t>
            </w:r>
            <w:r w:rsidR="00D821E6">
              <w:rPr>
                <w:sz w:val="17"/>
              </w:rPr>
              <w:t xml:space="preserve">BRIGHT’S BUILDING, </w:t>
            </w:r>
            <w:proofErr w:type="gramStart"/>
            <w:r w:rsidR="00D821E6">
              <w:rPr>
                <w:sz w:val="17"/>
              </w:rPr>
              <w:t>S,EKOU</w:t>
            </w:r>
            <w:proofErr w:type="gramEnd"/>
            <w:r w:rsidR="00D821E6">
              <w:rPr>
                <w:sz w:val="17"/>
              </w:rPr>
              <w:t xml:space="preserve"> TOURE AVENUE, MAMBA POINT</w:t>
            </w:r>
            <w:r>
              <w:rPr>
                <w:sz w:val="17"/>
              </w:rPr>
              <w:br/>
              <w:t>1000 MONROVIA 10, LIBERIA</w:t>
            </w:r>
          </w:p>
        </w:tc>
        <w:tc>
          <w:tcPr>
            <w:tcW w:w="1512" w:type="dxa"/>
            <w:tcMar>
              <w:top w:w="0" w:type="dxa"/>
              <w:left w:w="25" w:type="dxa"/>
              <w:bottom w:w="0" w:type="dxa"/>
              <w:right w:w="25" w:type="dxa"/>
            </w:tcMar>
          </w:tcPr>
          <w:p w14:paraId="37E02FB4" w14:textId="77777777" w:rsidR="00976ACF" w:rsidRDefault="00057065">
            <w:r>
              <w:rPr>
                <w:noProof/>
              </w:rPr>
              <w:drawing>
                <wp:inline distT="0" distB="0" distL="0" distR="0" wp14:anchorId="1193344B" wp14:editId="5749D65F">
                  <wp:extent cx="685800" cy="47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685800" cy="479280"/>
                          </a:xfrm>
                          <a:prstGeom prst="rect">
                            <a:avLst/>
                          </a:prstGeom>
                        </pic:spPr>
                      </pic:pic>
                    </a:graphicData>
                  </a:graphic>
                </wp:inline>
              </w:drawing>
            </w:r>
          </w:p>
        </w:tc>
      </w:tr>
    </w:tbl>
    <w:p w14:paraId="5532701F" w14:textId="77777777" w:rsidR="00976ACF" w:rsidRDefault="00057065">
      <w:pPr>
        <w:jc w:val="center"/>
      </w:pPr>
      <w:r>
        <w:rPr>
          <w:b/>
          <w:color w:val="000000"/>
          <w:sz w:val="28"/>
        </w:rPr>
        <w:t>PUBLIC ADVERTISEMENT</w:t>
      </w:r>
    </w:p>
    <w:p w14:paraId="0B04364C" w14:textId="77777777" w:rsidR="00976ACF" w:rsidRDefault="00057065">
      <w:pPr>
        <w:jc w:val="center"/>
      </w:pPr>
      <w:r>
        <w:rPr>
          <w:b/>
          <w:color w:val="000000"/>
          <w:sz w:val="21"/>
        </w:rPr>
        <w:t>REQUEST FOR EXPRESSIONS OF INTEREST - INDIVIDUAL CONSULTANT</w:t>
      </w:r>
    </w:p>
    <w:p w14:paraId="3BA3BDB4" w14:textId="77777777" w:rsidR="00976ACF" w:rsidRPr="007B19C1" w:rsidRDefault="00057065">
      <w:pPr>
        <w:jc w:val="center"/>
        <w:rPr>
          <w:color w:val="4F6228" w:themeColor="accent3" w:themeShade="80"/>
        </w:rPr>
      </w:pPr>
      <w:r w:rsidRPr="007B19C1">
        <w:rPr>
          <w:b/>
          <w:color w:val="4F6228" w:themeColor="accent3" w:themeShade="80"/>
          <w:sz w:val="22"/>
        </w:rPr>
        <w:t>CHAPTER 3 LEAD CONSULTANCY: INFORMATION RELATED TO CLIMATE CHANGE IMPACTS AND ADAPTATION UNDER ARTICLE 7 OF THE PARIS AGREEMENT</w:t>
      </w:r>
    </w:p>
    <w:tbl>
      <w:tblPr>
        <w:tblStyle w:val="TableGrid"/>
        <w:tblW w:w="0" w:type="auto"/>
        <w:jc w:val="center"/>
        <w:tblLook w:val="04A0" w:firstRow="1" w:lastRow="0" w:firstColumn="1" w:lastColumn="0" w:noHBand="0" w:noVBand="1"/>
      </w:tblPr>
      <w:tblGrid>
        <w:gridCol w:w="2407"/>
        <w:gridCol w:w="7951"/>
      </w:tblGrid>
      <w:tr w:rsidR="00976ACF" w14:paraId="2A42FC5A" w14:textId="77777777">
        <w:trPr>
          <w:jc w:val="center"/>
        </w:trPr>
        <w:tc>
          <w:tcPr>
            <w:tcW w:w="2232" w:type="dxa"/>
            <w:shd w:val="clear" w:color="auto" w:fill="DDEBF7"/>
            <w:tcMar>
              <w:top w:w="70" w:type="dxa"/>
              <w:left w:w="90" w:type="dxa"/>
              <w:bottom w:w="70" w:type="dxa"/>
              <w:right w:w="90" w:type="dxa"/>
            </w:tcMar>
            <w:vAlign w:val="center"/>
          </w:tcPr>
          <w:p w14:paraId="13B16FCB" w14:textId="77777777" w:rsidR="00976ACF" w:rsidRPr="007B19C1" w:rsidRDefault="007B19C1">
            <w:pPr>
              <w:rPr>
                <w:rFonts w:ascii="Times New Roman" w:hAnsi="Times New Roman" w:cs="Times New Roman"/>
                <w:sz w:val="24"/>
              </w:rPr>
            </w:pPr>
            <w:r>
              <w:rPr>
                <w:rFonts w:ascii="Times New Roman" w:hAnsi="Times New Roman" w:cs="Times New Roman"/>
                <w:b/>
                <w:sz w:val="24"/>
              </w:rPr>
              <w:t>Project T</w:t>
            </w:r>
            <w:r w:rsidR="00057065" w:rsidRPr="007B19C1">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191A8A94" w14:textId="67BD3561"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Liberia Enabling Activities for the Preparation of the Second Biennial Transparency Report (BTR2) and the combined Third Biennial Transparency Report and Fourth National Communication (BTR3NC4) to the UNFCCC</w:t>
            </w:r>
          </w:p>
        </w:tc>
      </w:tr>
      <w:tr w:rsidR="00976ACF" w14:paraId="68B1E928" w14:textId="77777777">
        <w:trPr>
          <w:jc w:val="center"/>
        </w:trPr>
        <w:tc>
          <w:tcPr>
            <w:tcW w:w="2232" w:type="dxa"/>
            <w:shd w:val="clear" w:color="auto" w:fill="DDEBF7"/>
            <w:tcMar>
              <w:top w:w="70" w:type="dxa"/>
              <w:left w:w="90" w:type="dxa"/>
              <w:bottom w:w="70" w:type="dxa"/>
              <w:right w:w="90" w:type="dxa"/>
            </w:tcMar>
            <w:vAlign w:val="center"/>
          </w:tcPr>
          <w:p w14:paraId="66D7BF17" w14:textId="77777777" w:rsidR="00976ACF" w:rsidRPr="007B19C1" w:rsidRDefault="007B19C1">
            <w:pPr>
              <w:rPr>
                <w:rFonts w:ascii="Times New Roman" w:hAnsi="Times New Roman" w:cs="Times New Roman"/>
                <w:sz w:val="24"/>
              </w:rPr>
            </w:pPr>
            <w:r>
              <w:rPr>
                <w:rFonts w:ascii="Times New Roman" w:hAnsi="Times New Roman" w:cs="Times New Roman"/>
                <w:b/>
                <w:sz w:val="24"/>
              </w:rPr>
              <w:t>Job T</w:t>
            </w:r>
            <w:r w:rsidR="00057065" w:rsidRPr="007B19C1">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7DCAD09C"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Chapter 3 Lead Consultant - Climate Change Impacts and Adaptation</w:t>
            </w:r>
          </w:p>
        </w:tc>
      </w:tr>
      <w:tr w:rsidR="00976ACF" w14:paraId="1AC1AB18" w14:textId="77777777">
        <w:trPr>
          <w:jc w:val="center"/>
        </w:trPr>
        <w:tc>
          <w:tcPr>
            <w:tcW w:w="2232" w:type="dxa"/>
            <w:shd w:val="clear" w:color="auto" w:fill="DDEBF7"/>
            <w:tcMar>
              <w:top w:w="70" w:type="dxa"/>
              <w:left w:w="90" w:type="dxa"/>
              <w:bottom w:w="70" w:type="dxa"/>
              <w:right w:w="90" w:type="dxa"/>
            </w:tcMar>
            <w:vAlign w:val="center"/>
          </w:tcPr>
          <w:p w14:paraId="0C4A805F" w14:textId="77777777" w:rsidR="00976ACF" w:rsidRPr="007B19C1" w:rsidRDefault="00057065">
            <w:pPr>
              <w:rPr>
                <w:rFonts w:ascii="Times New Roman" w:hAnsi="Times New Roman" w:cs="Times New Roman"/>
                <w:sz w:val="24"/>
              </w:rPr>
            </w:pPr>
            <w:r w:rsidRPr="007B19C1">
              <w:rPr>
                <w:rFonts w:ascii="Times New Roman" w:hAnsi="Times New Roman" w:cs="Times New Roman"/>
                <w:b/>
                <w:sz w:val="24"/>
              </w:rPr>
              <w:t>Division/Department</w:t>
            </w:r>
            <w:r w:rsidR="007B19C1">
              <w:rPr>
                <w:rFonts w:ascii="Times New Roman" w:hAnsi="Times New Roman" w:cs="Times New Roman"/>
                <w:b/>
                <w:sz w:val="24"/>
              </w:rPr>
              <w:t>:</w:t>
            </w:r>
          </w:p>
        </w:tc>
        <w:tc>
          <w:tcPr>
            <w:tcW w:w="8352" w:type="dxa"/>
            <w:tcMar>
              <w:top w:w="70" w:type="dxa"/>
              <w:left w:w="90" w:type="dxa"/>
              <w:bottom w:w="70" w:type="dxa"/>
              <w:right w:w="90" w:type="dxa"/>
            </w:tcMar>
            <w:vAlign w:val="center"/>
          </w:tcPr>
          <w:p w14:paraId="212B7203"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Climate Change / Multilateral Environmental Agreement Department</w:t>
            </w:r>
          </w:p>
        </w:tc>
      </w:tr>
      <w:tr w:rsidR="00976ACF" w14:paraId="17F03E37" w14:textId="77777777">
        <w:trPr>
          <w:jc w:val="center"/>
        </w:trPr>
        <w:tc>
          <w:tcPr>
            <w:tcW w:w="2232" w:type="dxa"/>
            <w:shd w:val="clear" w:color="auto" w:fill="DDEBF7"/>
            <w:tcMar>
              <w:top w:w="70" w:type="dxa"/>
              <w:left w:w="90" w:type="dxa"/>
              <w:bottom w:w="70" w:type="dxa"/>
              <w:right w:w="90" w:type="dxa"/>
            </w:tcMar>
            <w:vAlign w:val="center"/>
          </w:tcPr>
          <w:p w14:paraId="12CD6E92" w14:textId="77777777" w:rsidR="00976ACF" w:rsidRPr="007B19C1" w:rsidRDefault="00057065">
            <w:pPr>
              <w:rPr>
                <w:rFonts w:ascii="Times New Roman" w:hAnsi="Times New Roman" w:cs="Times New Roman"/>
                <w:sz w:val="24"/>
              </w:rPr>
            </w:pPr>
            <w:proofErr w:type="spellStart"/>
            <w:r w:rsidRPr="007B19C1">
              <w:rPr>
                <w:rFonts w:ascii="Times New Roman" w:hAnsi="Times New Roman" w:cs="Times New Roman"/>
                <w:b/>
                <w:sz w:val="24"/>
              </w:rPr>
              <w:t>Programme</w:t>
            </w:r>
            <w:proofErr w:type="spellEnd"/>
            <w:r w:rsidRPr="007B19C1">
              <w:rPr>
                <w:rFonts w:ascii="Times New Roman" w:hAnsi="Times New Roman" w:cs="Times New Roman"/>
                <w:b/>
                <w:sz w:val="24"/>
              </w:rPr>
              <w:t>/Project No.</w:t>
            </w:r>
            <w:r w:rsidR="007B19C1">
              <w:rPr>
                <w:rFonts w:ascii="Times New Roman" w:hAnsi="Times New Roman" w:cs="Times New Roman"/>
                <w:b/>
                <w:sz w:val="24"/>
              </w:rPr>
              <w:t>:</w:t>
            </w:r>
          </w:p>
        </w:tc>
        <w:tc>
          <w:tcPr>
            <w:tcW w:w="8352" w:type="dxa"/>
            <w:tcMar>
              <w:top w:w="70" w:type="dxa"/>
              <w:left w:w="90" w:type="dxa"/>
              <w:bottom w:w="70" w:type="dxa"/>
              <w:right w:w="90" w:type="dxa"/>
            </w:tcMar>
            <w:vAlign w:val="center"/>
          </w:tcPr>
          <w:p w14:paraId="6E178904"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SB-019444.04</w:t>
            </w:r>
          </w:p>
        </w:tc>
      </w:tr>
      <w:tr w:rsidR="00976ACF" w14:paraId="6836AD15" w14:textId="77777777">
        <w:trPr>
          <w:jc w:val="center"/>
        </w:trPr>
        <w:tc>
          <w:tcPr>
            <w:tcW w:w="2232" w:type="dxa"/>
            <w:shd w:val="clear" w:color="auto" w:fill="DDEBF7"/>
            <w:tcMar>
              <w:top w:w="70" w:type="dxa"/>
              <w:left w:w="90" w:type="dxa"/>
              <w:bottom w:w="70" w:type="dxa"/>
              <w:right w:w="90" w:type="dxa"/>
            </w:tcMar>
            <w:vAlign w:val="center"/>
          </w:tcPr>
          <w:p w14:paraId="768F7CB3" w14:textId="77777777" w:rsidR="00976ACF" w:rsidRPr="007B19C1" w:rsidRDefault="007B19C1">
            <w:pPr>
              <w:rPr>
                <w:rFonts w:ascii="Times New Roman" w:hAnsi="Times New Roman" w:cs="Times New Roman"/>
                <w:sz w:val="24"/>
              </w:rPr>
            </w:pPr>
            <w:r>
              <w:rPr>
                <w:rFonts w:ascii="Times New Roman" w:hAnsi="Times New Roman" w:cs="Times New Roman"/>
                <w:b/>
                <w:sz w:val="24"/>
              </w:rPr>
              <w:t>Duty S</w:t>
            </w:r>
            <w:r w:rsidR="00057065" w:rsidRPr="007B19C1">
              <w:rPr>
                <w:rFonts w:ascii="Times New Roman" w:hAnsi="Times New Roman" w:cs="Times New Roman"/>
                <w:b/>
                <w:sz w:val="24"/>
              </w:rPr>
              <w:t>tation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79AFCC1F"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Monrovia, Liberia, with stakeholder consultations as required</w:t>
            </w:r>
          </w:p>
        </w:tc>
      </w:tr>
      <w:tr w:rsidR="00976ACF" w14:paraId="1CAA2DAA" w14:textId="77777777">
        <w:trPr>
          <w:jc w:val="center"/>
        </w:trPr>
        <w:tc>
          <w:tcPr>
            <w:tcW w:w="2232" w:type="dxa"/>
            <w:shd w:val="clear" w:color="auto" w:fill="DDEBF7"/>
            <w:tcMar>
              <w:top w:w="70" w:type="dxa"/>
              <w:left w:w="90" w:type="dxa"/>
              <w:bottom w:w="70" w:type="dxa"/>
              <w:right w:w="90" w:type="dxa"/>
            </w:tcMar>
            <w:vAlign w:val="center"/>
          </w:tcPr>
          <w:p w14:paraId="149AE728" w14:textId="77777777" w:rsidR="00976ACF" w:rsidRPr="007B19C1" w:rsidRDefault="00057065">
            <w:pPr>
              <w:rPr>
                <w:rFonts w:ascii="Times New Roman" w:hAnsi="Times New Roman" w:cs="Times New Roman"/>
                <w:sz w:val="24"/>
              </w:rPr>
            </w:pPr>
            <w:r w:rsidRPr="007B19C1">
              <w:rPr>
                <w:rFonts w:ascii="Times New Roman" w:hAnsi="Times New Roman" w:cs="Times New Roman"/>
                <w:b/>
                <w:sz w:val="24"/>
              </w:rPr>
              <w:t>Reports to</w:t>
            </w:r>
            <w:r w:rsidR="007B19C1">
              <w:rPr>
                <w:rFonts w:ascii="Times New Roman" w:hAnsi="Times New Roman" w:cs="Times New Roman"/>
                <w:b/>
                <w:sz w:val="24"/>
              </w:rPr>
              <w:t>:</w:t>
            </w:r>
          </w:p>
        </w:tc>
        <w:tc>
          <w:tcPr>
            <w:tcW w:w="8352" w:type="dxa"/>
            <w:tcMar>
              <w:top w:w="70" w:type="dxa"/>
              <w:left w:w="90" w:type="dxa"/>
              <w:bottom w:w="70" w:type="dxa"/>
              <w:right w:w="90" w:type="dxa"/>
            </w:tcMar>
            <w:vAlign w:val="center"/>
          </w:tcPr>
          <w:p w14:paraId="15A2ABEC"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National Project Coordinator (NPC)</w:t>
            </w:r>
          </w:p>
        </w:tc>
      </w:tr>
      <w:tr w:rsidR="00976ACF" w14:paraId="2F89B5C3" w14:textId="77777777">
        <w:trPr>
          <w:jc w:val="center"/>
        </w:trPr>
        <w:tc>
          <w:tcPr>
            <w:tcW w:w="2232" w:type="dxa"/>
            <w:shd w:val="clear" w:color="auto" w:fill="DDEBF7"/>
            <w:tcMar>
              <w:top w:w="70" w:type="dxa"/>
              <w:left w:w="90" w:type="dxa"/>
              <w:bottom w:w="70" w:type="dxa"/>
              <w:right w:w="90" w:type="dxa"/>
            </w:tcMar>
            <w:vAlign w:val="center"/>
          </w:tcPr>
          <w:p w14:paraId="47A69DB0" w14:textId="77777777" w:rsidR="00976ACF" w:rsidRPr="007B19C1" w:rsidRDefault="007B19C1">
            <w:pPr>
              <w:rPr>
                <w:rFonts w:ascii="Times New Roman" w:hAnsi="Times New Roman" w:cs="Times New Roman"/>
                <w:sz w:val="24"/>
              </w:rPr>
            </w:pPr>
            <w:r>
              <w:rPr>
                <w:rFonts w:ascii="Times New Roman" w:hAnsi="Times New Roman" w:cs="Times New Roman"/>
                <w:b/>
                <w:sz w:val="24"/>
              </w:rPr>
              <w:t>Contract D</w:t>
            </w:r>
            <w:r w:rsidR="00057065" w:rsidRPr="007B19C1">
              <w:rPr>
                <w:rFonts w:ascii="Times New Roman" w:hAnsi="Times New Roman" w:cs="Times New Roman"/>
                <w:b/>
                <w:sz w:val="24"/>
              </w:rPr>
              <w:t>uration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5DFC34FD"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52 months, with flexibility based on the approved work plan and milestones</w:t>
            </w:r>
          </w:p>
        </w:tc>
      </w:tr>
    </w:tbl>
    <w:p w14:paraId="510ECA3D" w14:textId="77777777" w:rsidR="00976ACF" w:rsidRDefault="00057065">
      <w:pPr>
        <w:pStyle w:val="Heading1"/>
      </w:pPr>
      <w:r>
        <w:t>1. Background</w:t>
      </w:r>
    </w:p>
    <w:p w14:paraId="3F715C2E"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The Environmental Protection Agency (EPA), pursuant to its mandate under the Environmental Protection and Management Law, coordinates Liberia's implementation of multilateral environmental agreements, including the United Nations Framework Convention on Climate Change (UNFCCC) and the Paris Agreement.</w:t>
      </w:r>
    </w:p>
    <w:p w14:paraId="7AEA1844" w14:textId="43E1C9B1"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Under Articles 7 and 13 of the Paris Agreement, Parties may provide information on climate change impacts and adaptation, including national circumstances, vulnerability and risk, adaptation priorities and actions, monitoring and evaluation, and efforts to avert, minimize and address loss and damage. Liberia is preparing its Second Biennial Transparency Report (BTR2) and its combined Third Biennial Transparency Report and Fourth National Communication (BTR3NC4), including information corresponding to an Adaptation Communication under Decision 9/CMA.1.</w:t>
      </w:r>
    </w:p>
    <w:p w14:paraId="01B1D474" w14:textId="77777777" w:rsidR="00976ACF" w:rsidRPr="007B19C1" w:rsidRDefault="00057065" w:rsidP="007B19C1">
      <w:pPr>
        <w:jc w:val="both"/>
        <w:rPr>
          <w:rFonts w:ascii="Times New Roman" w:hAnsi="Times New Roman" w:cs="Times New Roman"/>
          <w:sz w:val="24"/>
        </w:rPr>
      </w:pPr>
      <w:r w:rsidRPr="007B19C1">
        <w:rPr>
          <w:rFonts w:ascii="Times New Roman" w:hAnsi="Times New Roman" w:cs="Times New Roman"/>
          <w:sz w:val="24"/>
        </w:rPr>
        <w:t>The EPA therefore invites qualified individual consultants to submit expressions of interest for the Chapter 3 lead consultancy on climate change impacts and adaptation.</w:t>
      </w:r>
    </w:p>
    <w:p w14:paraId="1E302143" w14:textId="77777777" w:rsidR="00976ACF" w:rsidRDefault="00057065">
      <w:pPr>
        <w:pStyle w:val="Heading1"/>
      </w:pPr>
      <w:r>
        <w:t>2. Objective of the Assignment</w:t>
      </w:r>
    </w:p>
    <w:p w14:paraId="3778C6E2" w14:textId="3A391EAA" w:rsidR="00976ACF" w:rsidRPr="00D821E6" w:rsidRDefault="00057065" w:rsidP="00D821E6">
      <w:pPr>
        <w:jc w:val="both"/>
        <w:rPr>
          <w:rFonts w:ascii="Times New Roman" w:hAnsi="Times New Roman" w:cs="Times New Roman"/>
          <w:sz w:val="24"/>
        </w:rPr>
      </w:pPr>
      <w:r w:rsidRPr="00D821E6">
        <w:rPr>
          <w:rFonts w:ascii="Times New Roman" w:hAnsi="Times New Roman" w:cs="Times New Roman"/>
          <w:sz w:val="24"/>
        </w:rPr>
        <w:t>The objective is to lead the preparation, review and finalization of Chapter 3 for Liberia</w:t>
      </w:r>
      <w:r w:rsidR="00AF250A">
        <w:rPr>
          <w:rFonts w:ascii="Times New Roman" w:hAnsi="Times New Roman" w:cs="Times New Roman"/>
          <w:sz w:val="24"/>
        </w:rPr>
        <w:t>’</w:t>
      </w:r>
      <w:r w:rsidRPr="00D821E6">
        <w:rPr>
          <w:rFonts w:ascii="Times New Roman" w:hAnsi="Times New Roman" w:cs="Times New Roman"/>
          <w:sz w:val="24"/>
        </w:rPr>
        <w:t xml:space="preserve">s BTR2 and BTR3NC4 by compiling and </w:t>
      </w:r>
      <w:r w:rsidR="005266EE" w:rsidRPr="00D821E6">
        <w:rPr>
          <w:rFonts w:ascii="Times New Roman" w:hAnsi="Times New Roman" w:cs="Times New Roman"/>
          <w:sz w:val="24"/>
        </w:rPr>
        <w:t>analyzing</w:t>
      </w:r>
      <w:r w:rsidRPr="00D821E6">
        <w:rPr>
          <w:rFonts w:ascii="Times New Roman" w:hAnsi="Times New Roman" w:cs="Times New Roman"/>
          <w:sz w:val="24"/>
        </w:rPr>
        <w:t xml:space="preserve"> national circumstances, climate impacts, risks and vulnerabilities, adaptation priorities and actions, monitoring and evaluation systems, loss and damage, cooperation, good practices and lessons learned through a participatory, gender-responsive and data-driven process.</w:t>
      </w:r>
    </w:p>
    <w:p w14:paraId="2F7297C8" w14:textId="77777777" w:rsidR="00976ACF" w:rsidRDefault="00057065">
      <w:pPr>
        <w:pStyle w:val="Heading1"/>
      </w:pPr>
      <w:r>
        <w:t>3. Scope of Work and Key Responsibilities</w:t>
      </w:r>
    </w:p>
    <w:p w14:paraId="5A3598AA" w14:textId="77777777" w:rsidR="00976ACF" w:rsidRPr="00D821E6" w:rsidRDefault="00057065" w:rsidP="00D821E6">
      <w:pPr>
        <w:jc w:val="both"/>
        <w:rPr>
          <w:rFonts w:ascii="Times New Roman" w:hAnsi="Times New Roman" w:cs="Times New Roman"/>
          <w:sz w:val="24"/>
          <w:szCs w:val="24"/>
        </w:rPr>
      </w:pPr>
      <w:r w:rsidRPr="00D821E6">
        <w:rPr>
          <w:rFonts w:ascii="Times New Roman" w:hAnsi="Times New Roman" w:cs="Times New Roman"/>
          <w:sz w:val="24"/>
          <w:szCs w:val="24"/>
        </w:rPr>
        <w:t>Guided by the approved Project Implementation Plan and working under the National Project Coordinator, the consultant will:</w:t>
      </w:r>
    </w:p>
    <w:p w14:paraId="552E96C3"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Compile and update national circumstances, adaptation governance frameworks, institutional arrangements, legal mandates and policy instruments.</w:t>
      </w:r>
    </w:p>
    <w:p w14:paraId="775A8AFB"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Map key ministries, agencies, technical institutions, civil-society organizations and coordination mechanisms involved in adaptation planning, implementation and reporting.</w:t>
      </w:r>
    </w:p>
    <w:p w14:paraId="6792BEB6" w14:textId="3C5A33FA"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Conduct and compile vulnerability and adaptation assessments for Agriculture, Fisheries and Forestry for BTR2 and for Energy, Transport, Water and Health for BTR3NC4.</w:t>
      </w:r>
    </w:p>
    <w:p w14:paraId="03AB2BCE"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lastRenderedPageBreak/>
        <w:t>Assess climate impacts, risks, domestic adaptation priorities, challenges, gaps and barriers, including differences in vulnerability between women and men.</w:t>
      </w:r>
    </w:p>
    <w:p w14:paraId="58BC2F96"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Compile adaptation strategies, policies, plans, goals and actions and assess their integration into national and sectoral development planning.</w:t>
      </w:r>
    </w:p>
    <w:p w14:paraId="467A7EB5"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Compile information on progress in implementing adaptation actions and support the design and reporting of adaptation monitoring, evaluation and learning systems.</w:t>
      </w:r>
    </w:p>
    <w:p w14:paraId="645BD133"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Compile information on averting, minimizing and addressing loss and damage associated with climate change impacts, including sectoral and community-level evidence.</w:t>
      </w:r>
    </w:p>
    <w:p w14:paraId="31757D80"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Document cooperation, good practices, experiences and lessons learned and identify opportunities to strengthen adaptation planning and reporting.</w:t>
      </w:r>
    </w:p>
    <w:p w14:paraId="035C6787"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Support capacity building for climate scenarios, modelling, projections and data analysis for vulnerability, adaptation and loss-and-damage assessments.</w:t>
      </w:r>
    </w:p>
    <w:p w14:paraId="0AFC5939"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Establish processes for gender-responsive and youth-inclusive adaptation metrics and ensure the participation of vulnerable groups in adaptation data collection.</w:t>
      </w:r>
    </w:p>
    <w:p w14:paraId="0DF79582" w14:textId="77777777" w:rsidR="00976ACF" w:rsidRPr="00D821E6"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Coordinate stakeholder consultations, national peer reviews and validation workshops and incorporate agreed comments into final Chapter 3 outputs.</w:t>
      </w:r>
    </w:p>
    <w:p w14:paraId="6E2F5FBC" w14:textId="77777777" w:rsidR="00976ACF" w:rsidRDefault="00057065" w:rsidP="00D821E6">
      <w:pPr>
        <w:pStyle w:val="ListBullet"/>
        <w:spacing w:after="20"/>
        <w:ind w:left="259" w:hanging="173"/>
        <w:jc w:val="both"/>
        <w:rPr>
          <w:rFonts w:ascii="Times New Roman" w:hAnsi="Times New Roman" w:cs="Times New Roman"/>
          <w:sz w:val="24"/>
          <w:szCs w:val="24"/>
        </w:rPr>
      </w:pPr>
      <w:r w:rsidRPr="00D821E6">
        <w:rPr>
          <w:rFonts w:ascii="Times New Roman" w:hAnsi="Times New Roman" w:cs="Times New Roman"/>
          <w:sz w:val="24"/>
          <w:szCs w:val="24"/>
        </w:rPr>
        <w:t>Collaborate with gender, MEL and QA/QC teams to ensure equity, transparency, accuracy, completeness, consistency and comparability over time.</w:t>
      </w:r>
    </w:p>
    <w:p w14:paraId="2A78A263" w14:textId="77777777" w:rsidR="00D821E6" w:rsidRDefault="00D821E6" w:rsidP="00D821E6">
      <w:pPr>
        <w:pStyle w:val="ListBullet"/>
        <w:numPr>
          <w:ilvl w:val="0"/>
          <w:numId w:val="0"/>
        </w:numPr>
        <w:spacing w:after="20"/>
        <w:ind w:left="259"/>
        <w:jc w:val="both"/>
        <w:rPr>
          <w:rFonts w:ascii="Times New Roman" w:hAnsi="Times New Roman" w:cs="Times New Roman"/>
          <w:sz w:val="24"/>
          <w:szCs w:val="24"/>
        </w:rPr>
      </w:pPr>
    </w:p>
    <w:p w14:paraId="70FA89CD" w14:textId="77777777" w:rsidR="00976ACF" w:rsidRDefault="00057065">
      <w:pPr>
        <w:pStyle w:val="Heading1"/>
      </w:pPr>
      <w:r>
        <w:t>4. Required Deliverables</w:t>
      </w:r>
    </w:p>
    <w:tbl>
      <w:tblPr>
        <w:tblStyle w:val="TableGrid"/>
        <w:tblW w:w="10416" w:type="dxa"/>
        <w:jc w:val="center"/>
        <w:tblLayout w:type="fixed"/>
        <w:tblLook w:val="04A0" w:firstRow="1" w:lastRow="0" w:firstColumn="1" w:lastColumn="0" w:noHBand="0" w:noVBand="1"/>
      </w:tblPr>
      <w:tblGrid>
        <w:gridCol w:w="720"/>
        <w:gridCol w:w="3714"/>
        <w:gridCol w:w="5982"/>
      </w:tblGrid>
      <w:tr w:rsidR="00976ACF" w14:paraId="1B10B1E1" w14:textId="77777777" w:rsidTr="00D821E6">
        <w:trPr>
          <w:tblHeader/>
          <w:jc w:val="center"/>
        </w:trPr>
        <w:tc>
          <w:tcPr>
            <w:tcW w:w="720" w:type="dxa"/>
            <w:shd w:val="clear" w:color="auto" w:fill="145A32"/>
          </w:tcPr>
          <w:p w14:paraId="56857582" w14:textId="77777777" w:rsidR="00976ACF" w:rsidRPr="00D821E6" w:rsidRDefault="00057065">
            <w:pPr>
              <w:rPr>
                <w:rFonts w:ascii="Times New Roman" w:hAnsi="Times New Roman" w:cs="Times New Roman"/>
                <w:sz w:val="24"/>
                <w:szCs w:val="24"/>
              </w:rPr>
            </w:pPr>
            <w:r w:rsidRPr="00D821E6">
              <w:rPr>
                <w:rFonts w:ascii="Times New Roman" w:hAnsi="Times New Roman" w:cs="Times New Roman"/>
                <w:b/>
                <w:color w:val="FFFFFF"/>
                <w:sz w:val="24"/>
                <w:szCs w:val="24"/>
              </w:rPr>
              <w:t>No.</w:t>
            </w:r>
          </w:p>
        </w:tc>
        <w:tc>
          <w:tcPr>
            <w:tcW w:w="3714" w:type="dxa"/>
            <w:shd w:val="clear" w:color="auto" w:fill="145A32"/>
          </w:tcPr>
          <w:p w14:paraId="58F9D59D" w14:textId="77777777" w:rsidR="00976ACF" w:rsidRPr="00D821E6" w:rsidRDefault="00057065">
            <w:pPr>
              <w:rPr>
                <w:rFonts w:ascii="Times New Roman" w:hAnsi="Times New Roman" w:cs="Times New Roman"/>
                <w:sz w:val="24"/>
                <w:szCs w:val="24"/>
              </w:rPr>
            </w:pPr>
            <w:r w:rsidRPr="00D821E6">
              <w:rPr>
                <w:rFonts w:ascii="Times New Roman" w:hAnsi="Times New Roman" w:cs="Times New Roman"/>
                <w:b/>
                <w:color w:val="FFFFFF"/>
                <w:sz w:val="24"/>
                <w:szCs w:val="24"/>
              </w:rPr>
              <w:t>Deliverable</w:t>
            </w:r>
          </w:p>
        </w:tc>
        <w:tc>
          <w:tcPr>
            <w:tcW w:w="5982" w:type="dxa"/>
            <w:shd w:val="clear" w:color="auto" w:fill="145A32"/>
          </w:tcPr>
          <w:p w14:paraId="0384DCA1" w14:textId="77777777" w:rsidR="00976ACF" w:rsidRPr="00D821E6" w:rsidRDefault="00057065">
            <w:pPr>
              <w:rPr>
                <w:rFonts w:ascii="Times New Roman" w:hAnsi="Times New Roman" w:cs="Times New Roman"/>
                <w:sz w:val="24"/>
                <w:szCs w:val="24"/>
              </w:rPr>
            </w:pPr>
            <w:r w:rsidRPr="00D821E6">
              <w:rPr>
                <w:rFonts w:ascii="Times New Roman" w:hAnsi="Times New Roman" w:cs="Times New Roman"/>
                <w:b/>
                <w:color w:val="FFFFFF"/>
                <w:sz w:val="24"/>
                <w:szCs w:val="24"/>
              </w:rPr>
              <w:t>Minimum content</w:t>
            </w:r>
          </w:p>
        </w:tc>
      </w:tr>
      <w:tr w:rsidR="00976ACF" w14:paraId="3E9FEE43" w14:textId="77777777" w:rsidTr="00D821E6">
        <w:trPr>
          <w:cantSplit/>
          <w:jc w:val="center"/>
        </w:trPr>
        <w:tc>
          <w:tcPr>
            <w:tcW w:w="720" w:type="dxa"/>
            <w:tcMar>
              <w:top w:w="50" w:type="dxa"/>
              <w:left w:w="70" w:type="dxa"/>
              <w:bottom w:w="50" w:type="dxa"/>
              <w:right w:w="70" w:type="dxa"/>
            </w:tcMar>
          </w:tcPr>
          <w:p w14:paraId="6A84D0B7" w14:textId="77777777" w:rsidR="00D821E6" w:rsidRDefault="00D821E6" w:rsidP="00D821E6">
            <w:pPr>
              <w:jc w:val="center"/>
              <w:rPr>
                <w:rFonts w:ascii="Times New Roman" w:hAnsi="Times New Roman" w:cs="Times New Roman"/>
                <w:b/>
                <w:sz w:val="24"/>
                <w:szCs w:val="24"/>
              </w:rPr>
            </w:pPr>
          </w:p>
          <w:p w14:paraId="0447DD5E"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3.1</w:t>
            </w:r>
          </w:p>
        </w:tc>
        <w:tc>
          <w:tcPr>
            <w:tcW w:w="3714" w:type="dxa"/>
            <w:tcMar>
              <w:top w:w="50" w:type="dxa"/>
              <w:left w:w="70" w:type="dxa"/>
              <w:bottom w:w="50" w:type="dxa"/>
              <w:right w:w="70" w:type="dxa"/>
            </w:tcMar>
          </w:tcPr>
          <w:p w14:paraId="54040D4E"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National circumstances, institutional arrangements and legal frameworks related to adaptation for BTR2</w:t>
            </w:r>
          </w:p>
        </w:tc>
        <w:tc>
          <w:tcPr>
            <w:tcW w:w="5982" w:type="dxa"/>
            <w:tcMar>
              <w:top w:w="50" w:type="dxa"/>
              <w:left w:w="70" w:type="dxa"/>
              <w:bottom w:w="50" w:type="dxa"/>
              <w:right w:w="70" w:type="dxa"/>
            </w:tcMar>
          </w:tcPr>
          <w:p w14:paraId="3A7F3EFB"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Section describing national circumstances relevant to adaptation, governance arrangements, institutional mandates, coordination mechanisms and applicable legal and policy frameworks.</w:t>
            </w:r>
          </w:p>
        </w:tc>
      </w:tr>
      <w:tr w:rsidR="00976ACF" w14:paraId="1EAC1EFE" w14:textId="77777777" w:rsidTr="00D821E6">
        <w:trPr>
          <w:cantSplit/>
          <w:jc w:val="center"/>
        </w:trPr>
        <w:tc>
          <w:tcPr>
            <w:tcW w:w="720" w:type="dxa"/>
            <w:tcMar>
              <w:top w:w="50" w:type="dxa"/>
              <w:left w:w="70" w:type="dxa"/>
              <w:bottom w:w="50" w:type="dxa"/>
              <w:right w:w="70" w:type="dxa"/>
            </w:tcMar>
          </w:tcPr>
          <w:p w14:paraId="18845A55" w14:textId="77777777" w:rsidR="00D821E6" w:rsidRDefault="00D821E6" w:rsidP="00D821E6">
            <w:pPr>
              <w:jc w:val="center"/>
              <w:rPr>
                <w:rFonts w:ascii="Times New Roman" w:hAnsi="Times New Roman" w:cs="Times New Roman"/>
                <w:b/>
                <w:sz w:val="24"/>
                <w:szCs w:val="24"/>
              </w:rPr>
            </w:pPr>
          </w:p>
          <w:p w14:paraId="288A2820"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3.2</w:t>
            </w:r>
          </w:p>
        </w:tc>
        <w:tc>
          <w:tcPr>
            <w:tcW w:w="3714" w:type="dxa"/>
            <w:tcMar>
              <w:top w:w="50" w:type="dxa"/>
              <w:left w:w="70" w:type="dxa"/>
              <w:bottom w:w="50" w:type="dxa"/>
              <w:right w:w="70" w:type="dxa"/>
            </w:tcMar>
          </w:tcPr>
          <w:p w14:paraId="573224C5"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Impacts, risks, vulnerabilities, priorities, barriers, strategies, policies, plans, goals and actions for BTR2</w:t>
            </w:r>
          </w:p>
        </w:tc>
        <w:tc>
          <w:tcPr>
            <w:tcW w:w="5982" w:type="dxa"/>
            <w:tcMar>
              <w:top w:w="50" w:type="dxa"/>
              <w:left w:w="70" w:type="dxa"/>
              <w:bottom w:w="50" w:type="dxa"/>
              <w:right w:w="70" w:type="dxa"/>
            </w:tcMar>
          </w:tcPr>
          <w:p w14:paraId="39B98EE8"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Vulnerability and adaptation assessments for Agriculture, Fisheries and Forestry, including gender-differentiated vulnerability, domestic priorities, challenges, gaps, barriers and integration of adaptation into development planning.</w:t>
            </w:r>
          </w:p>
        </w:tc>
      </w:tr>
      <w:tr w:rsidR="00976ACF" w14:paraId="447B4616" w14:textId="77777777" w:rsidTr="00D821E6">
        <w:trPr>
          <w:cantSplit/>
          <w:jc w:val="center"/>
        </w:trPr>
        <w:tc>
          <w:tcPr>
            <w:tcW w:w="720" w:type="dxa"/>
            <w:tcMar>
              <w:top w:w="50" w:type="dxa"/>
              <w:left w:w="70" w:type="dxa"/>
              <w:bottom w:w="50" w:type="dxa"/>
              <w:right w:w="70" w:type="dxa"/>
            </w:tcMar>
          </w:tcPr>
          <w:p w14:paraId="4C2DBF67" w14:textId="77777777" w:rsidR="00D821E6" w:rsidRDefault="00D821E6" w:rsidP="00D821E6">
            <w:pPr>
              <w:jc w:val="center"/>
              <w:rPr>
                <w:rFonts w:ascii="Times New Roman" w:hAnsi="Times New Roman" w:cs="Times New Roman"/>
                <w:b/>
                <w:sz w:val="24"/>
                <w:szCs w:val="24"/>
              </w:rPr>
            </w:pPr>
          </w:p>
          <w:p w14:paraId="1214B70D"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3.3</w:t>
            </w:r>
          </w:p>
        </w:tc>
        <w:tc>
          <w:tcPr>
            <w:tcW w:w="3714" w:type="dxa"/>
            <w:tcMar>
              <w:top w:w="50" w:type="dxa"/>
              <w:left w:w="70" w:type="dxa"/>
              <w:bottom w:w="50" w:type="dxa"/>
              <w:right w:w="70" w:type="dxa"/>
            </w:tcMar>
          </w:tcPr>
          <w:p w14:paraId="3FBF1F07"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Progress, monitoring and evaluation, loss and damage, cooperation and lessons for BTR2</w:t>
            </w:r>
          </w:p>
        </w:tc>
        <w:tc>
          <w:tcPr>
            <w:tcW w:w="5982" w:type="dxa"/>
            <w:tcMar>
              <w:top w:w="50" w:type="dxa"/>
              <w:left w:w="70" w:type="dxa"/>
              <w:bottom w:w="50" w:type="dxa"/>
              <w:right w:w="70" w:type="dxa"/>
            </w:tcMar>
          </w:tcPr>
          <w:p w14:paraId="221616F4"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Information on implementation progress; adaptation monitoring and evaluation; efforts to avert, minimize and address loss and damage; cooperation, good practices, experience and lessons learned; and related capacity building.</w:t>
            </w:r>
          </w:p>
        </w:tc>
      </w:tr>
      <w:tr w:rsidR="00976ACF" w14:paraId="53960CD2" w14:textId="77777777" w:rsidTr="00D821E6">
        <w:trPr>
          <w:cantSplit/>
          <w:jc w:val="center"/>
        </w:trPr>
        <w:tc>
          <w:tcPr>
            <w:tcW w:w="720" w:type="dxa"/>
            <w:tcMar>
              <w:top w:w="50" w:type="dxa"/>
              <w:left w:w="70" w:type="dxa"/>
              <w:bottom w:w="50" w:type="dxa"/>
              <w:right w:w="70" w:type="dxa"/>
            </w:tcMar>
          </w:tcPr>
          <w:p w14:paraId="483CA3B7" w14:textId="77777777" w:rsidR="00D821E6" w:rsidRDefault="00D821E6" w:rsidP="00D821E6">
            <w:pPr>
              <w:jc w:val="center"/>
              <w:rPr>
                <w:rFonts w:ascii="Times New Roman" w:hAnsi="Times New Roman" w:cs="Times New Roman"/>
                <w:b/>
                <w:sz w:val="24"/>
                <w:szCs w:val="24"/>
              </w:rPr>
            </w:pPr>
          </w:p>
          <w:p w14:paraId="596188A2"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3.4</w:t>
            </w:r>
          </w:p>
        </w:tc>
        <w:tc>
          <w:tcPr>
            <w:tcW w:w="3714" w:type="dxa"/>
            <w:tcMar>
              <w:top w:w="50" w:type="dxa"/>
              <w:left w:w="70" w:type="dxa"/>
              <w:bottom w:w="50" w:type="dxa"/>
              <w:right w:w="70" w:type="dxa"/>
            </w:tcMar>
          </w:tcPr>
          <w:p w14:paraId="0DC390F0"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Climate change impacts and adaptation report for BTR2</w:t>
            </w:r>
          </w:p>
        </w:tc>
        <w:tc>
          <w:tcPr>
            <w:tcW w:w="5982" w:type="dxa"/>
            <w:tcMar>
              <w:top w:w="50" w:type="dxa"/>
              <w:left w:w="70" w:type="dxa"/>
              <w:bottom w:w="50" w:type="dxa"/>
              <w:right w:w="70" w:type="dxa"/>
            </w:tcMar>
          </w:tcPr>
          <w:p w14:paraId="229BF1C0"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Complete Chapter 3 report, supported by stakeholder consultations, national peer review, a validation workshop and documented incorporation of comments.</w:t>
            </w:r>
          </w:p>
        </w:tc>
      </w:tr>
      <w:tr w:rsidR="00976ACF" w14:paraId="44655077" w14:textId="77777777" w:rsidTr="00D821E6">
        <w:trPr>
          <w:cantSplit/>
          <w:jc w:val="center"/>
        </w:trPr>
        <w:tc>
          <w:tcPr>
            <w:tcW w:w="720" w:type="dxa"/>
            <w:tcMar>
              <w:top w:w="50" w:type="dxa"/>
              <w:left w:w="70" w:type="dxa"/>
              <w:bottom w:w="50" w:type="dxa"/>
              <w:right w:w="70" w:type="dxa"/>
            </w:tcMar>
          </w:tcPr>
          <w:p w14:paraId="3E76A55D" w14:textId="77777777" w:rsidR="00D821E6" w:rsidRDefault="00D821E6" w:rsidP="00D821E6">
            <w:pPr>
              <w:jc w:val="center"/>
              <w:rPr>
                <w:rFonts w:ascii="Times New Roman" w:hAnsi="Times New Roman" w:cs="Times New Roman"/>
                <w:b/>
                <w:sz w:val="24"/>
                <w:szCs w:val="24"/>
              </w:rPr>
            </w:pPr>
          </w:p>
          <w:p w14:paraId="68B2A8CA"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3.5</w:t>
            </w:r>
          </w:p>
        </w:tc>
        <w:tc>
          <w:tcPr>
            <w:tcW w:w="3714" w:type="dxa"/>
            <w:tcMar>
              <w:top w:w="50" w:type="dxa"/>
              <w:left w:w="70" w:type="dxa"/>
              <w:bottom w:w="50" w:type="dxa"/>
              <w:right w:w="70" w:type="dxa"/>
            </w:tcMar>
          </w:tcPr>
          <w:p w14:paraId="29023C94"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Updated national circumstances, institutional arrangements and legal frameworks for BTR3/NC4</w:t>
            </w:r>
          </w:p>
        </w:tc>
        <w:tc>
          <w:tcPr>
            <w:tcW w:w="5982" w:type="dxa"/>
            <w:tcMar>
              <w:top w:w="50" w:type="dxa"/>
              <w:left w:w="70" w:type="dxa"/>
              <w:bottom w:w="50" w:type="dxa"/>
              <w:right w:w="70" w:type="dxa"/>
            </w:tcMar>
          </w:tcPr>
          <w:p w14:paraId="55DAC285"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Updated section describing adaptation circumstances, governance, institutional arrangements, coordination and applicable legal and policy frameworks.</w:t>
            </w:r>
          </w:p>
        </w:tc>
      </w:tr>
      <w:tr w:rsidR="00976ACF" w14:paraId="2F2B7F2B" w14:textId="77777777" w:rsidTr="00D821E6">
        <w:trPr>
          <w:cantSplit/>
          <w:jc w:val="center"/>
        </w:trPr>
        <w:tc>
          <w:tcPr>
            <w:tcW w:w="720" w:type="dxa"/>
            <w:tcMar>
              <w:top w:w="50" w:type="dxa"/>
              <w:left w:w="70" w:type="dxa"/>
              <w:bottom w:w="50" w:type="dxa"/>
              <w:right w:w="70" w:type="dxa"/>
            </w:tcMar>
          </w:tcPr>
          <w:p w14:paraId="7DCCD180" w14:textId="77777777" w:rsidR="00D821E6" w:rsidRDefault="00D821E6" w:rsidP="00D821E6">
            <w:pPr>
              <w:jc w:val="center"/>
              <w:rPr>
                <w:rFonts w:ascii="Times New Roman" w:hAnsi="Times New Roman" w:cs="Times New Roman"/>
                <w:b/>
                <w:sz w:val="24"/>
                <w:szCs w:val="24"/>
              </w:rPr>
            </w:pPr>
          </w:p>
          <w:p w14:paraId="358E0766" w14:textId="77777777" w:rsidR="00976ACF" w:rsidRPr="00D821E6" w:rsidRDefault="00057065" w:rsidP="00D821E6">
            <w:pPr>
              <w:jc w:val="center"/>
              <w:rPr>
                <w:rFonts w:ascii="Times New Roman" w:hAnsi="Times New Roman" w:cs="Times New Roman"/>
                <w:sz w:val="24"/>
                <w:szCs w:val="24"/>
              </w:rPr>
            </w:pPr>
            <w:r w:rsidRPr="00D821E6">
              <w:rPr>
                <w:rFonts w:ascii="Times New Roman" w:hAnsi="Times New Roman" w:cs="Times New Roman"/>
                <w:b/>
                <w:sz w:val="24"/>
                <w:szCs w:val="24"/>
              </w:rPr>
              <w:t>3.6</w:t>
            </w:r>
          </w:p>
        </w:tc>
        <w:tc>
          <w:tcPr>
            <w:tcW w:w="3714" w:type="dxa"/>
            <w:tcMar>
              <w:top w:w="50" w:type="dxa"/>
              <w:left w:w="70" w:type="dxa"/>
              <w:bottom w:w="50" w:type="dxa"/>
              <w:right w:w="70" w:type="dxa"/>
            </w:tcMar>
          </w:tcPr>
          <w:p w14:paraId="24BE9D1D"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Updated impacts, risks, vulnerabilities, priorities, barriers, strategies, policies, plans, goals and actions for BTR3/NC4</w:t>
            </w:r>
          </w:p>
        </w:tc>
        <w:tc>
          <w:tcPr>
            <w:tcW w:w="5982" w:type="dxa"/>
            <w:tcMar>
              <w:top w:w="50" w:type="dxa"/>
              <w:left w:w="70" w:type="dxa"/>
              <w:bottom w:w="50" w:type="dxa"/>
              <w:right w:w="70" w:type="dxa"/>
            </w:tcMar>
          </w:tcPr>
          <w:p w14:paraId="3F9E18D5"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Vulnerability and adaptation assessments for Energy, Transport, Water and Health, including gender-differentiated vulnerability, youth-inclusive metrics, vulnerable-group participation, priorities, gaps, barriers and policy integration.</w:t>
            </w:r>
          </w:p>
        </w:tc>
      </w:tr>
      <w:tr w:rsidR="00976ACF" w14:paraId="518CF102" w14:textId="77777777" w:rsidTr="00D821E6">
        <w:trPr>
          <w:cantSplit/>
          <w:jc w:val="center"/>
        </w:trPr>
        <w:tc>
          <w:tcPr>
            <w:tcW w:w="720" w:type="dxa"/>
            <w:tcMar>
              <w:top w:w="50" w:type="dxa"/>
              <w:left w:w="70" w:type="dxa"/>
              <w:bottom w:w="50" w:type="dxa"/>
              <w:right w:w="70" w:type="dxa"/>
            </w:tcMar>
          </w:tcPr>
          <w:p w14:paraId="32BA5BA7" w14:textId="77777777" w:rsidR="00976ACF" w:rsidRPr="00D821E6" w:rsidRDefault="00057065">
            <w:pPr>
              <w:rPr>
                <w:rFonts w:ascii="Times New Roman" w:hAnsi="Times New Roman" w:cs="Times New Roman"/>
                <w:sz w:val="24"/>
                <w:szCs w:val="24"/>
              </w:rPr>
            </w:pPr>
            <w:r w:rsidRPr="00D821E6">
              <w:rPr>
                <w:rFonts w:ascii="Times New Roman" w:hAnsi="Times New Roman" w:cs="Times New Roman"/>
                <w:b/>
                <w:sz w:val="24"/>
                <w:szCs w:val="24"/>
              </w:rPr>
              <w:lastRenderedPageBreak/>
              <w:t>3.7</w:t>
            </w:r>
          </w:p>
        </w:tc>
        <w:tc>
          <w:tcPr>
            <w:tcW w:w="3714" w:type="dxa"/>
            <w:tcMar>
              <w:top w:w="50" w:type="dxa"/>
              <w:left w:w="70" w:type="dxa"/>
              <w:bottom w:w="50" w:type="dxa"/>
              <w:right w:w="70" w:type="dxa"/>
            </w:tcMar>
          </w:tcPr>
          <w:p w14:paraId="325AF700"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Updated progress, monitoring and evaluation, loss and damage, cooperation and lessons for BTR3/NC4</w:t>
            </w:r>
          </w:p>
        </w:tc>
        <w:tc>
          <w:tcPr>
            <w:tcW w:w="5982" w:type="dxa"/>
            <w:tcMar>
              <w:top w:w="50" w:type="dxa"/>
              <w:left w:w="70" w:type="dxa"/>
              <w:bottom w:w="50" w:type="dxa"/>
              <w:right w:w="70" w:type="dxa"/>
            </w:tcMar>
          </w:tcPr>
          <w:p w14:paraId="66C292F7"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Updated information on implementation progress, monitoring and evaluation, loss and damage, cooperation, good practices, experience, lessons and capacity-building needs.</w:t>
            </w:r>
          </w:p>
        </w:tc>
      </w:tr>
      <w:tr w:rsidR="00976ACF" w14:paraId="13F31B64" w14:textId="77777777" w:rsidTr="00D821E6">
        <w:trPr>
          <w:cantSplit/>
          <w:jc w:val="center"/>
        </w:trPr>
        <w:tc>
          <w:tcPr>
            <w:tcW w:w="720" w:type="dxa"/>
            <w:tcMar>
              <w:top w:w="50" w:type="dxa"/>
              <w:left w:w="70" w:type="dxa"/>
              <w:bottom w:w="50" w:type="dxa"/>
              <w:right w:w="70" w:type="dxa"/>
            </w:tcMar>
          </w:tcPr>
          <w:p w14:paraId="2706CD6B" w14:textId="77777777" w:rsidR="00976ACF" w:rsidRPr="00D821E6" w:rsidRDefault="00057065">
            <w:pPr>
              <w:rPr>
                <w:rFonts w:ascii="Times New Roman" w:hAnsi="Times New Roman" w:cs="Times New Roman"/>
                <w:sz w:val="24"/>
                <w:szCs w:val="24"/>
              </w:rPr>
            </w:pPr>
            <w:r w:rsidRPr="00D821E6">
              <w:rPr>
                <w:rFonts w:ascii="Times New Roman" w:hAnsi="Times New Roman" w:cs="Times New Roman"/>
                <w:b/>
                <w:sz w:val="24"/>
                <w:szCs w:val="24"/>
              </w:rPr>
              <w:t>3.8</w:t>
            </w:r>
          </w:p>
        </w:tc>
        <w:tc>
          <w:tcPr>
            <w:tcW w:w="3714" w:type="dxa"/>
            <w:tcMar>
              <w:top w:w="50" w:type="dxa"/>
              <w:left w:w="70" w:type="dxa"/>
              <w:bottom w:w="50" w:type="dxa"/>
              <w:right w:w="70" w:type="dxa"/>
            </w:tcMar>
          </w:tcPr>
          <w:p w14:paraId="4B0346BB" w14:textId="12188DA8"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Climate change impacts and adaptation report for BTR3NC4</w:t>
            </w:r>
          </w:p>
        </w:tc>
        <w:tc>
          <w:tcPr>
            <w:tcW w:w="5982" w:type="dxa"/>
            <w:tcMar>
              <w:top w:w="50" w:type="dxa"/>
              <w:left w:w="70" w:type="dxa"/>
              <w:bottom w:w="50" w:type="dxa"/>
              <w:right w:w="70" w:type="dxa"/>
            </w:tcMar>
          </w:tcPr>
          <w:p w14:paraId="57BD4B00" w14:textId="77777777" w:rsidR="00976ACF" w:rsidRPr="00D821E6" w:rsidRDefault="00057065" w:rsidP="005266EE">
            <w:pPr>
              <w:jc w:val="both"/>
              <w:rPr>
                <w:rFonts w:ascii="Times New Roman" w:hAnsi="Times New Roman" w:cs="Times New Roman"/>
                <w:sz w:val="24"/>
                <w:szCs w:val="24"/>
              </w:rPr>
            </w:pPr>
            <w:r w:rsidRPr="00D821E6">
              <w:rPr>
                <w:rFonts w:ascii="Times New Roman" w:hAnsi="Times New Roman" w:cs="Times New Roman"/>
                <w:sz w:val="24"/>
                <w:szCs w:val="24"/>
              </w:rPr>
              <w:t>Final updated Chapter 3 report, supported by consultations, national peer review, stakeholder validation and recommendations for improving subsequent reporting cycles.</w:t>
            </w:r>
          </w:p>
        </w:tc>
      </w:tr>
    </w:tbl>
    <w:p w14:paraId="706E7D61" w14:textId="77777777" w:rsidR="009B169C" w:rsidRDefault="009B169C" w:rsidP="009B169C"/>
    <w:p w14:paraId="59CCD8F7" w14:textId="77777777" w:rsidR="00976ACF" w:rsidRDefault="00057065">
      <w:pPr>
        <w:pStyle w:val="Heading1"/>
      </w:pPr>
      <w:r>
        <w:t>5. Qualifications and Experience</w:t>
      </w:r>
    </w:p>
    <w:p w14:paraId="22AC56C5"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At least a master's degree in climate change, environmental science, climate-risk management, natural resource management, geography, development studies, or another closely related discipline.</w:t>
      </w:r>
    </w:p>
    <w:p w14:paraId="488991A4"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At least five (5) years of relevant professional experience, including demonstrated work on climate impacts, vulnerability, adaptation, resilience, loss and damage, or related assignments.</w:t>
      </w:r>
    </w:p>
    <w:p w14:paraId="60A524C1"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Strong knowledge of the UNFCCC, Paris Agreement, Enhanced Transparency Framework, MPGs, Adaptation Communications and national adaptation policy processes.</w:t>
      </w:r>
    </w:p>
    <w:p w14:paraId="3A7FFAB2"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Demonstrated ability to conduct climate-impact, vulnerability and adaptation assessments and apply climate scenarios, modelling, projections or relevant data-analysis methods.</w:t>
      </w:r>
    </w:p>
    <w:p w14:paraId="5AC15ECC"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Sound knowledge of Liberia's climate, social and economic context, policies, institutions, development priorities and vulnerable sectors and groups.</w:t>
      </w:r>
    </w:p>
    <w:p w14:paraId="475E93AC"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 xml:space="preserve">Proven capacity to collect, validate, </w:t>
      </w:r>
      <w:proofErr w:type="spellStart"/>
      <w:r w:rsidRPr="00D821E6">
        <w:rPr>
          <w:rFonts w:ascii="Times New Roman" w:hAnsi="Times New Roman" w:cs="Times New Roman"/>
          <w:sz w:val="24"/>
        </w:rPr>
        <w:t>analyse</w:t>
      </w:r>
      <w:proofErr w:type="spellEnd"/>
      <w:r w:rsidRPr="00D821E6">
        <w:rPr>
          <w:rFonts w:ascii="Times New Roman" w:hAnsi="Times New Roman" w:cs="Times New Roman"/>
          <w:sz w:val="24"/>
        </w:rPr>
        <w:t xml:space="preserve"> and synthesize quantitative and qualitative information and to prepare high-quality technical reports.</w:t>
      </w:r>
    </w:p>
    <w:p w14:paraId="125405FA"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Strong stakeholder-engagement, facilitation, teamwork and coordination skills.</w:t>
      </w:r>
    </w:p>
    <w:p w14:paraId="3C760F27" w14:textId="77777777" w:rsidR="00976ACF" w:rsidRPr="00D821E6"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Proficiency in Microsoft Word, Excel and PowerPoint; competence in relevant data-analysis, modelling or visualization tools is an advantage.</w:t>
      </w:r>
    </w:p>
    <w:p w14:paraId="18302203" w14:textId="77777777" w:rsidR="00976ACF" w:rsidRDefault="00057065" w:rsidP="00D821E6">
      <w:pPr>
        <w:pStyle w:val="ListBullet"/>
        <w:spacing w:after="20"/>
        <w:ind w:left="259" w:hanging="173"/>
        <w:jc w:val="both"/>
        <w:rPr>
          <w:rFonts w:ascii="Times New Roman" w:hAnsi="Times New Roman" w:cs="Times New Roman"/>
          <w:sz w:val="24"/>
        </w:rPr>
      </w:pPr>
      <w:r w:rsidRPr="00D821E6">
        <w:rPr>
          <w:rFonts w:ascii="Times New Roman" w:hAnsi="Times New Roman" w:cs="Times New Roman"/>
          <w:sz w:val="24"/>
        </w:rPr>
        <w:t>Excellent written and spoken English. Prior experience preparing National Communications, Biennial Transparency Reports, Adaptation Communications, National Adaptation Plans or vulnerability and adaptation reports is a strong advantage.</w:t>
      </w:r>
    </w:p>
    <w:p w14:paraId="09959493" w14:textId="77777777" w:rsidR="00D821E6" w:rsidRPr="00D821E6" w:rsidRDefault="00D821E6" w:rsidP="00D821E6">
      <w:pPr>
        <w:pStyle w:val="ListBullet"/>
        <w:numPr>
          <w:ilvl w:val="0"/>
          <w:numId w:val="0"/>
        </w:numPr>
        <w:spacing w:after="20"/>
        <w:ind w:left="259"/>
        <w:jc w:val="both"/>
        <w:rPr>
          <w:rFonts w:ascii="Times New Roman" w:hAnsi="Times New Roman" w:cs="Times New Roman"/>
          <w:sz w:val="24"/>
        </w:rPr>
      </w:pPr>
    </w:p>
    <w:p w14:paraId="4A7189D1" w14:textId="77777777" w:rsidR="00976ACF" w:rsidRDefault="00057065">
      <w:pPr>
        <w:pStyle w:val="Heading1"/>
      </w:pPr>
      <w:r>
        <w:t>6. Reporting, Quality and Acceptance</w:t>
      </w:r>
    </w:p>
    <w:p w14:paraId="00C0FC88" w14:textId="77777777" w:rsidR="00976ACF" w:rsidRDefault="00057065">
      <w:pPr>
        <w:rPr>
          <w:rFonts w:ascii="Times New Roman" w:hAnsi="Times New Roman" w:cs="Times New Roman"/>
          <w:sz w:val="24"/>
        </w:rPr>
      </w:pPr>
      <w:r w:rsidRPr="00D821E6">
        <w:rPr>
          <w:rFonts w:ascii="Times New Roman" w:hAnsi="Times New Roman" w:cs="Times New Roman"/>
          <w:sz w:val="24"/>
        </w:rPr>
        <w:t>The consultant will report to the National Project Coordinator and work closely with the EPA, the Vulnerability and Adaptation Technical Expert Group, sectoral focal points, gender, MEL and QA/QC teams. Deliverables will be accepted upon technical review, incorporation of comments, completion of relevant BTR and NC requirements, and approval by the EPA/NPC. The final work plan, schedule and payment milestones will form part of the contract.</w:t>
      </w:r>
    </w:p>
    <w:p w14:paraId="06A4AC93" w14:textId="77777777" w:rsidR="009B169C" w:rsidRPr="00D821E6" w:rsidRDefault="009B169C">
      <w:pPr>
        <w:rPr>
          <w:rFonts w:ascii="Times New Roman" w:hAnsi="Times New Roman" w:cs="Times New Roman"/>
          <w:sz w:val="24"/>
        </w:rPr>
      </w:pPr>
    </w:p>
    <w:p w14:paraId="767D3B99" w14:textId="77777777" w:rsidR="00976ACF" w:rsidRDefault="00057065">
      <w:pPr>
        <w:pStyle w:val="Heading1"/>
      </w:pPr>
      <w:r>
        <w:t>7. Application Requirements</w:t>
      </w:r>
    </w:p>
    <w:p w14:paraId="3D644AC4" w14:textId="77777777" w:rsidR="00976ACF" w:rsidRPr="00D821E6" w:rsidRDefault="00057065">
      <w:pPr>
        <w:rPr>
          <w:rFonts w:ascii="Times New Roman" w:hAnsi="Times New Roman" w:cs="Times New Roman"/>
          <w:sz w:val="24"/>
        </w:rPr>
      </w:pPr>
      <w:r w:rsidRPr="00D821E6">
        <w:rPr>
          <w:rFonts w:ascii="Times New Roman" w:hAnsi="Times New Roman" w:cs="Times New Roman"/>
          <w:sz w:val="24"/>
        </w:rPr>
        <w:t>Interested candidates should submit:</w:t>
      </w:r>
    </w:p>
    <w:p w14:paraId="4B950BC2" w14:textId="77777777" w:rsidR="00976ACF" w:rsidRPr="00D821E6" w:rsidRDefault="00057065">
      <w:pPr>
        <w:pStyle w:val="ListBullet"/>
        <w:spacing w:after="20"/>
        <w:ind w:left="259" w:hanging="173"/>
        <w:rPr>
          <w:rFonts w:ascii="Times New Roman" w:hAnsi="Times New Roman" w:cs="Times New Roman"/>
          <w:sz w:val="24"/>
        </w:rPr>
      </w:pPr>
      <w:r w:rsidRPr="00D821E6">
        <w:rPr>
          <w:rFonts w:ascii="Times New Roman" w:hAnsi="Times New Roman" w:cs="Times New Roman"/>
          <w:sz w:val="24"/>
        </w:rPr>
        <w:t>A signed cover letter/expression of interest explaining suitability for the assignment;</w:t>
      </w:r>
    </w:p>
    <w:p w14:paraId="2FF0E10D" w14:textId="77777777" w:rsidR="00976ACF" w:rsidRPr="00D821E6" w:rsidRDefault="00057065">
      <w:pPr>
        <w:pStyle w:val="ListBullet"/>
        <w:spacing w:after="20"/>
        <w:ind w:left="259" w:hanging="173"/>
        <w:rPr>
          <w:rFonts w:ascii="Times New Roman" w:hAnsi="Times New Roman" w:cs="Times New Roman"/>
          <w:sz w:val="24"/>
        </w:rPr>
      </w:pPr>
      <w:r w:rsidRPr="00D821E6">
        <w:rPr>
          <w:rFonts w:ascii="Times New Roman" w:hAnsi="Times New Roman" w:cs="Times New Roman"/>
          <w:sz w:val="24"/>
        </w:rPr>
        <w:t>A current curriculum vitae, including contact details for at least three professional referees;</w:t>
      </w:r>
    </w:p>
    <w:p w14:paraId="46F685D1" w14:textId="77777777" w:rsidR="00976ACF" w:rsidRPr="00D821E6" w:rsidRDefault="00057065">
      <w:pPr>
        <w:pStyle w:val="ListBullet"/>
        <w:spacing w:after="20"/>
        <w:ind w:left="259" w:hanging="173"/>
        <w:rPr>
          <w:rFonts w:ascii="Times New Roman" w:hAnsi="Times New Roman" w:cs="Times New Roman"/>
          <w:sz w:val="24"/>
        </w:rPr>
      </w:pPr>
      <w:r w:rsidRPr="00D821E6">
        <w:rPr>
          <w:rFonts w:ascii="Times New Roman" w:hAnsi="Times New Roman" w:cs="Times New Roman"/>
          <w:sz w:val="24"/>
        </w:rPr>
        <w:t>A brief technical approach and indicative work plan for delivering outputs 3.1-3.8;</w:t>
      </w:r>
    </w:p>
    <w:p w14:paraId="7A787173" w14:textId="77777777" w:rsidR="00976ACF" w:rsidRPr="00D821E6" w:rsidRDefault="00057065">
      <w:pPr>
        <w:pStyle w:val="ListBullet"/>
        <w:spacing w:after="20"/>
        <w:ind w:left="259" w:hanging="173"/>
        <w:rPr>
          <w:rFonts w:ascii="Times New Roman" w:hAnsi="Times New Roman" w:cs="Times New Roman"/>
          <w:sz w:val="24"/>
        </w:rPr>
      </w:pPr>
      <w:r w:rsidRPr="00D821E6">
        <w:rPr>
          <w:rFonts w:ascii="Times New Roman" w:hAnsi="Times New Roman" w:cs="Times New Roman"/>
          <w:sz w:val="24"/>
        </w:rPr>
        <w:t>A financial proposal stating the professional fee and any applicable costs; and</w:t>
      </w:r>
    </w:p>
    <w:p w14:paraId="79A53066" w14:textId="77777777" w:rsidR="00976ACF" w:rsidRPr="00D821E6" w:rsidRDefault="00057065">
      <w:pPr>
        <w:pStyle w:val="ListBullet"/>
        <w:spacing w:after="20"/>
        <w:ind w:left="259" w:hanging="173"/>
        <w:rPr>
          <w:rFonts w:ascii="Times New Roman" w:hAnsi="Times New Roman" w:cs="Times New Roman"/>
          <w:sz w:val="24"/>
        </w:rPr>
      </w:pPr>
      <w:r w:rsidRPr="00D821E6">
        <w:rPr>
          <w:rFonts w:ascii="Times New Roman" w:hAnsi="Times New Roman" w:cs="Times New Roman"/>
          <w:sz w:val="24"/>
        </w:rPr>
        <w:t>Copies of relevant academic and professional credentials and, where available, samples or links to comparable work.</w:t>
      </w:r>
    </w:p>
    <w:p w14:paraId="513EC159" w14:textId="77777777" w:rsidR="00976ACF" w:rsidRPr="00D821E6" w:rsidRDefault="00057065">
      <w:pPr>
        <w:rPr>
          <w:rFonts w:ascii="Times New Roman" w:hAnsi="Times New Roman" w:cs="Times New Roman"/>
          <w:sz w:val="24"/>
        </w:rPr>
      </w:pPr>
      <w:r w:rsidRPr="00D821E6">
        <w:rPr>
          <w:rFonts w:ascii="Times New Roman" w:hAnsi="Times New Roman" w:cs="Times New Roman"/>
          <w:sz w:val="24"/>
        </w:rPr>
        <w:t>Applications from qualified women and men are encouraged. Only shortlisted candidates will be contacted. The EPA reserves the right to verify qualifications and references.</w:t>
      </w:r>
    </w:p>
    <w:p w14:paraId="6F8C5CC1" w14:textId="77777777" w:rsidR="00976ACF" w:rsidRDefault="00057065">
      <w:pPr>
        <w:pStyle w:val="Heading1"/>
      </w:pPr>
      <w:r>
        <w:lastRenderedPageBreak/>
        <w:t>8. Submission of Applications</w:t>
      </w:r>
    </w:p>
    <w:tbl>
      <w:tblPr>
        <w:tblStyle w:val="TableGrid"/>
        <w:tblW w:w="0" w:type="auto"/>
        <w:jc w:val="center"/>
        <w:tblLook w:val="04A0" w:firstRow="1" w:lastRow="0" w:firstColumn="1" w:lastColumn="0" w:noHBand="0" w:noVBand="1"/>
      </w:tblPr>
      <w:tblGrid>
        <w:gridCol w:w="5178"/>
        <w:gridCol w:w="5180"/>
      </w:tblGrid>
      <w:tr w:rsidR="00976ACF" w:rsidRPr="009B169C" w14:paraId="0C307D2C" w14:textId="77777777" w:rsidTr="009B169C">
        <w:trPr>
          <w:jc w:val="center"/>
        </w:trPr>
        <w:tc>
          <w:tcPr>
            <w:tcW w:w="5184" w:type="dxa"/>
            <w:shd w:val="clear" w:color="auto" w:fill="DDEBF7"/>
            <w:tcMar>
              <w:top w:w="70" w:type="dxa"/>
              <w:left w:w="90" w:type="dxa"/>
              <w:bottom w:w="70" w:type="dxa"/>
              <w:right w:w="90" w:type="dxa"/>
            </w:tcMar>
          </w:tcPr>
          <w:p w14:paraId="76CF47C1" w14:textId="77777777" w:rsidR="00976ACF" w:rsidRPr="009B169C" w:rsidRDefault="009B169C">
            <w:pPr>
              <w:rPr>
                <w:rFonts w:ascii="Times New Roman" w:hAnsi="Times New Roman" w:cs="Times New Roman"/>
                <w:sz w:val="24"/>
                <w:szCs w:val="24"/>
              </w:rPr>
            </w:pPr>
            <w:r>
              <w:rPr>
                <w:rFonts w:ascii="Times New Roman" w:hAnsi="Times New Roman" w:cs="Times New Roman"/>
                <w:b/>
                <w:sz w:val="24"/>
                <w:szCs w:val="24"/>
              </w:rPr>
              <w:t>Address A</w:t>
            </w:r>
            <w:r w:rsidR="00057065" w:rsidRPr="009B169C">
              <w:rPr>
                <w:rFonts w:ascii="Times New Roman" w:hAnsi="Times New Roman" w:cs="Times New Roman"/>
                <w:b/>
                <w:sz w:val="24"/>
                <w:szCs w:val="24"/>
              </w:rPr>
              <w:t>pplications to</w:t>
            </w:r>
            <w:r>
              <w:rPr>
                <w:rFonts w:ascii="Times New Roman" w:hAnsi="Times New Roman" w:cs="Times New Roman"/>
                <w:b/>
                <w:sz w:val="24"/>
                <w:szCs w:val="24"/>
              </w:rPr>
              <w:t>:</w:t>
            </w:r>
          </w:p>
        </w:tc>
        <w:tc>
          <w:tcPr>
            <w:tcW w:w="5184" w:type="dxa"/>
            <w:tcMar>
              <w:top w:w="70" w:type="dxa"/>
              <w:left w:w="90" w:type="dxa"/>
              <w:bottom w:w="70" w:type="dxa"/>
              <w:right w:w="90" w:type="dxa"/>
            </w:tcMar>
          </w:tcPr>
          <w:p w14:paraId="0900A9AF" w14:textId="77777777" w:rsidR="009B169C" w:rsidRPr="00184F49" w:rsidRDefault="009B169C" w:rsidP="009B169C">
            <w:pPr>
              <w:spacing w:after="0"/>
              <w:rPr>
                <w:rFonts w:ascii="Times New Roman" w:eastAsia="Calibri" w:hAnsi="Times New Roman"/>
                <w:b/>
                <w:sz w:val="24"/>
              </w:rPr>
            </w:pPr>
            <w:r w:rsidRPr="00184F49">
              <w:rPr>
                <w:rFonts w:ascii="Times New Roman" w:eastAsia="Calibri" w:hAnsi="Times New Roman"/>
                <w:b/>
                <w:sz w:val="24"/>
              </w:rPr>
              <w:t xml:space="preserve">Mr. </w:t>
            </w:r>
            <w:proofErr w:type="spellStart"/>
            <w:r w:rsidRPr="00184F49">
              <w:rPr>
                <w:rFonts w:ascii="Times New Roman" w:eastAsia="Calibri" w:hAnsi="Times New Roman"/>
                <w:b/>
                <w:sz w:val="24"/>
              </w:rPr>
              <w:t>Pescee</w:t>
            </w:r>
            <w:proofErr w:type="spellEnd"/>
            <w:r w:rsidRPr="00184F49">
              <w:rPr>
                <w:rFonts w:ascii="Times New Roman" w:eastAsia="Calibri" w:hAnsi="Times New Roman"/>
                <w:b/>
                <w:sz w:val="24"/>
              </w:rPr>
              <w:t xml:space="preserve"> Doe</w:t>
            </w:r>
          </w:p>
          <w:p w14:paraId="797A47B5" w14:textId="63AD99E4" w:rsidR="009B169C" w:rsidRPr="00184F49" w:rsidRDefault="009B169C" w:rsidP="009B169C">
            <w:pPr>
              <w:spacing w:after="0"/>
              <w:rPr>
                <w:rFonts w:ascii="Times New Roman" w:eastAsia="Calibri" w:hAnsi="Times New Roman"/>
                <w:sz w:val="24"/>
              </w:rPr>
            </w:pPr>
            <w:r w:rsidRPr="00184F49">
              <w:rPr>
                <w:rFonts w:ascii="Times New Roman" w:eastAsia="Calibri" w:hAnsi="Times New Roman"/>
                <w:sz w:val="24"/>
              </w:rPr>
              <w:t>Assistant Director / Procurement</w:t>
            </w:r>
          </w:p>
          <w:p w14:paraId="631DE03D" w14:textId="77777777" w:rsidR="00976ACF" w:rsidRPr="009B169C" w:rsidRDefault="009B169C" w:rsidP="009B169C">
            <w:pPr>
              <w:rPr>
                <w:rFonts w:ascii="Times New Roman" w:hAnsi="Times New Roman" w:cs="Times New Roman"/>
                <w:sz w:val="24"/>
                <w:szCs w:val="24"/>
              </w:rPr>
            </w:pPr>
            <w:r w:rsidRPr="00184F49">
              <w:rPr>
                <w:rFonts w:ascii="Times New Roman" w:eastAsia="Calibri" w:hAnsi="Times New Roman"/>
                <w:sz w:val="24"/>
              </w:rPr>
              <w:t>Environmental Protection Agency (EPA) of Liberia</w:t>
            </w:r>
          </w:p>
        </w:tc>
      </w:tr>
      <w:tr w:rsidR="009B169C" w:rsidRPr="009B169C" w14:paraId="0F010634" w14:textId="77777777" w:rsidTr="009B169C">
        <w:trPr>
          <w:jc w:val="center"/>
        </w:trPr>
        <w:tc>
          <w:tcPr>
            <w:tcW w:w="5184" w:type="dxa"/>
            <w:shd w:val="clear" w:color="auto" w:fill="DDEBF7"/>
            <w:tcMar>
              <w:top w:w="70" w:type="dxa"/>
              <w:left w:w="90" w:type="dxa"/>
              <w:bottom w:w="70" w:type="dxa"/>
              <w:right w:w="90" w:type="dxa"/>
            </w:tcMar>
          </w:tcPr>
          <w:p w14:paraId="3B3EC1DF" w14:textId="77777777" w:rsidR="009B169C" w:rsidRPr="009B169C" w:rsidRDefault="009B169C" w:rsidP="009B169C">
            <w:pPr>
              <w:rPr>
                <w:rFonts w:ascii="Times New Roman" w:hAnsi="Times New Roman" w:cs="Times New Roman"/>
                <w:sz w:val="24"/>
                <w:szCs w:val="24"/>
              </w:rPr>
            </w:pPr>
            <w:r>
              <w:rPr>
                <w:rFonts w:ascii="Times New Roman" w:hAnsi="Times New Roman" w:cs="Times New Roman"/>
                <w:b/>
                <w:sz w:val="24"/>
                <w:szCs w:val="24"/>
              </w:rPr>
              <w:t>Physical A</w:t>
            </w:r>
            <w:r w:rsidRPr="009B169C">
              <w:rPr>
                <w:rFonts w:ascii="Times New Roman" w:hAnsi="Times New Roman" w:cs="Times New Roman"/>
                <w:b/>
                <w:sz w:val="24"/>
                <w:szCs w:val="24"/>
              </w:rPr>
              <w:t>ddress</w:t>
            </w:r>
            <w:r>
              <w:rPr>
                <w:rFonts w:ascii="Times New Roman" w:hAnsi="Times New Roman" w:cs="Times New Roman"/>
                <w:b/>
                <w:sz w:val="24"/>
                <w:szCs w:val="24"/>
              </w:rPr>
              <w:t>:</w:t>
            </w:r>
          </w:p>
        </w:tc>
        <w:tc>
          <w:tcPr>
            <w:tcW w:w="5184" w:type="dxa"/>
            <w:tcMar>
              <w:top w:w="70" w:type="dxa"/>
              <w:left w:w="90" w:type="dxa"/>
              <w:bottom w:w="70" w:type="dxa"/>
              <w:right w:w="90" w:type="dxa"/>
            </w:tcMar>
          </w:tcPr>
          <w:p w14:paraId="71A06D63" w14:textId="77777777" w:rsidR="009B169C" w:rsidRPr="00184F49" w:rsidRDefault="009B169C" w:rsidP="009B169C">
            <w:pPr>
              <w:spacing w:after="0"/>
              <w:rPr>
                <w:rFonts w:ascii="Times New Roman" w:eastAsia="Calibri" w:hAnsi="Times New Roman"/>
                <w:sz w:val="24"/>
              </w:rPr>
            </w:pPr>
            <w:r w:rsidRPr="00184F49">
              <w:rPr>
                <w:rFonts w:ascii="Times New Roman" w:eastAsia="Calibri" w:hAnsi="Times New Roman"/>
                <w:sz w:val="24"/>
              </w:rPr>
              <w:t>Bright’s Building, Sekou Toure Avenue, Mamba Point</w:t>
            </w:r>
          </w:p>
          <w:p w14:paraId="329165F4" w14:textId="77777777" w:rsidR="009B169C" w:rsidRPr="00184F49" w:rsidRDefault="009B169C" w:rsidP="009B169C">
            <w:pPr>
              <w:rPr>
                <w:rFonts w:ascii="Times New Roman" w:hAnsi="Times New Roman" w:cs="Times New Roman"/>
                <w:sz w:val="24"/>
                <w:szCs w:val="24"/>
              </w:rPr>
            </w:pPr>
            <w:r w:rsidRPr="00184F49">
              <w:rPr>
                <w:rFonts w:ascii="Times New Roman" w:eastAsia="Calibri" w:hAnsi="Times New Roman"/>
                <w:sz w:val="24"/>
              </w:rPr>
              <w:t>1000 Monrovia, 10 Liberia</w:t>
            </w:r>
          </w:p>
        </w:tc>
      </w:tr>
      <w:tr w:rsidR="009B169C" w:rsidRPr="009B169C" w14:paraId="2CBB4E53" w14:textId="77777777" w:rsidTr="009B169C">
        <w:trPr>
          <w:jc w:val="center"/>
        </w:trPr>
        <w:tc>
          <w:tcPr>
            <w:tcW w:w="5184" w:type="dxa"/>
            <w:shd w:val="clear" w:color="auto" w:fill="DDEBF7"/>
            <w:tcMar>
              <w:top w:w="70" w:type="dxa"/>
              <w:left w:w="90" w:type="dxa"/>
              <w:bottom w:w="70" w:type="dxa"/>
              <w:right w:w="90" w:type="dxa"/>
            </w:tcMar>
          </w:tcPr>
          <w:p w14:paraId="3557B416" w14:textId="77777777" w:rsidR="009B169C" w:rsidRPr="009B169C" w:rsidRDefault="009B169C" w:rsidP="009B169C">
            <w:pPr>
              <w:rPr>
                <w:rFonts w:ascii="Times New Roman" w:hAnsi="Times New Roman" w:cs="Times New Roman"/>
                <w:sz w:val="24"/>
                <w:szCs w:val="24"/>
              </w:rPr>
            </w:pPr>
            <w:r w:rsidRPr="00184F49">
              <w:rPr>
                <w:rFonts w:ascii="Times New Roman" w:hAnsi="Times New Roman" w:cs="Times New Roman"/>
                <w:b/>
                <w:sz w:val="24"/>
                <w:szCs w:val="24"/>
              </w:rPr>
              <w:t>Email</w:t>
            </w:r>
            <w:r>
              <w:rPr>
                <w:rFonts w:ascii="Times New Roman" w:hAnsi="Times New Roman" w:cs="Times New Roman"/>
                <w:b/>
                <w:sz w:val="24"/>
                <w:szCs w:val="24"/>
              </w:rPr>
              <w:t>:</w:t>
            </w:r>
          </w:p>
        </w:tc>
        <w:tc>
          <w:tcPr>
            <w:tcW w:w="5184" w:type="dxa"/>
            <w:tcMar>
              <w:top w:w="70" w:type="dxa"/>
              <w:left w:w="90" w:type="dxa"/>
              <w:bottom w:w="70" w:type="dxa"/>
              <w:right w:w="90" w:type="dxa"/>
            </w:tcMar>
          </w:tcPr>
          <w:p w14:paraId="00A47681" w14:textId="77777777" w:rsidR="009B169C" w:rsidRPr="00184F49" w:rsidRDefault="009B169C" w:rsidP="009B169C">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Email</w:t>
            </w:r>
            <w:r w:rsidRPr="00184F49">
              <w:rPr>
                <w:rFonts w:ascii="Times New Roman" w:eastAsia="Calibri" w:hAnsi="Times New Roman" w:cs="Times New Roman"/>
                <w:sz w:val="24"/>
                <w:szCs w:val="24"/>
              </w:rPr>
              <w:t xml:space="preserve">: </w:t>
            </w:r>
            <w:hyperlink r:id="rId10" w:history="1">
              <w:r w:rsidRPr="00184F49">
                <w:rPr>
                  <w:rStyle w:val="Hyperlink"/>
                  <w:rFonts w:ascii="Times New Roman" w:eastAsia="Calibri" w:hAnsi="Times New Roman" w:cs="Times New Roman"/>
                  <w:sz w:val="24"/>
                  <w:szCs w:val="24"/>
                </w:rPr>
                <w:t>ptdoe@epa.gov.lr</w:t>
              </w:r>
            </w:hyperlink>
            <w:r w:rsidRPr="00184F49">
              <w:rPr>
                <w:rFonts w:ascii="Times New Roman" w:eastAsia="Calibri" w:hAnsi="Times New Roman" w:cs="Times New Roman"/>
                <w:sz w:val="24"/>
                <w:szCs w:val="24"/>
              </w:rPr>
              <w:t xml:space="preserve"> / </w:t>
            </w:r>
            <w:hyperlink r:id="rId11" w:history="1">
              <w:r w:rsidRPr="00184F49">
                <w:rPr>
                  <w:rStyle w:val="Hyperlink"/>
                  <w:rFonts w:ascii="Times New Roman" w:eastAsia="Calibri" w:hAnsi="Times New Roman" w:cs="Times New Roman"/>
                  <w:sz w:val="24"/>
                  <w:szCs w:val="24"/>
                </w:rPr>
                <w:t>pesc82.doe@gmail.com</w:t>
              </w:r>
            </w:hyperlink>
          </w:p>
          <w:p w14:paraId="4062E36B" w14:textId="77777777" w:rsidR="009B169C" w:rsidRPr="00184F49" w:rsidRDefault="009B169C" w:rsidP="009B169C">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cc</w:t>
            </w:r>
            <w:r w:rsidRPr="00184F49">
              <w:rPr>
                <w:rFonts w:ascii="Times New Roman" w:eastAsia="Calibri" w:hAnsi="Times New Roman" w:cs="Times New Roman"/>
                <w:sz w:val="24"/>
                <w:szCs w:val="24"/>
              </w:rPr>
              <w:t xml:space="preserve">: </w:t>
            </w:r>
            <w:hyperlink r:id="rId12" w:history="1">
              <w:r w:rsidRPr="00184F49">
                <w:rPr>
                  <w:rStyle w:val="Hyperlink"/>
                  <w:rFonts w:ascii="Times New Roman" w:eastAsia="Calibri" w:hAnsi="Times New Roman" w:cs="Times New Roman"/>
                  <w:sz w:val="24"/>
                  <w:szCs w:val="24"/>
                </w:rPr>
                <w:t>abecker@epa.gov.lr</w:t>
              </w:r>
            </w:hyperlink>
            <w:r w:rsidRPr="00184F49">
              <w:rPr>
                <w:rFonts w:ascii="Times New Roman" w:eastAsia="Calibri" w:hAnsi="Times New Roman" w:cs="Times New Roman"/>
                <w:sz w:val="24"/>
                <w:szCs w:val="24"/>
              </w:rPr>
              <w:t xml:space="preserve"> &amp; </w:t>
            </w:r>
            <w:hyperlink r:id="rId13" w:history="1">
              <w:r w:rsidRPr="00184F49">
                <w:rPr>
                  <w:rStyle w:val="Hyperlink"/>
                  <w:rFonts w:ascii="Times New Roman" w:eastAsia="Calibri" w:hAnsi="Times New Roman" w:cs="Times New Roman"/>
                  <w:sz w:val="24"/>
                  <w:szCs w:val="24"/>
                </w:rPr>
                <w:t>bkarmorh@epa.gov.lr</w:t>
              </w:r>
            </w:hyperlink>
          </w:p>
        </w:tc>
      </w:tr>
      <w:tr w:rsidR="009B169C" w:rsidRPr="009B169C" w14:paraId="7FB3D69A" w14:textId="77777777" w:rsidTr="009B169C">
        <w:trPr>
          <w:jc w:val="center"/>
        </w:trPr>
        <w:tc>
          <w:tcPr>
            <w:tcW w:w="5184" w:type="dxa"/>
            <w:shd w:val="clear" w:color="auto" w:fill="DDEBF7"/>
            <w:tcMar>
              <w:top w:w="70" w:type="dxa"/>
              <w:left w:w="90" w:type="dxa"/>
              <w:bottom w:w="70" w:type="dxa"/>
              <w:right w:w="90" w:type="dxa"/>
            </w:tcMar>
          </w:tcPr>
          <w:p w14:paraId="28B88BEA" w14:textId="77777777" w:rsidR="009B169C" w:rsidRPr="009B169C" w:rsidRDefault="009B169C" w:rsidP="009B169C">
            <w:pPr>
              <w:rPr>
                <w:rFonts w:ascii="Times New Roman" w:hAnsi="Times New Roman" w:cs="Times New Roman"/>
                <w:sz w:val="24"/>
                <w:szCs w:val="24"/>
              </w:rPr>
            </w:pPr>
            <w:r>
              <w:rPr>
                <w:rFonts w:ascii="Times New Roman" w:hAnsi="Times New Roman" w:cs="Times New Roman"/>
                <w:b/>
                <w:sz w:val="24"/>
                <w:szCs w:val="24"/>
              </w:rPr>
              <w:t>Subject L</w:t>
            </w:r>
            <w:r w:rsidRPr="00184F49">
              <w:rPr>
                <w:rFonts w:ascii="Times New Roman" w:hAnsi="Times New Roman" w:cs="Times New Roman"/>
                <w:b/>
                <w:sz w:val="24"/>
                <w:szCs w:val="24"/>
              </w:rPr>
              <w:t>ine</w:t>
            </w:r>
            <w:r>
              <w:rPr>
                <w:rFonts w:ascii="Times New Roman" w:hAnsi="Times New Roman" w:cs="Times New Roman"/>
                <w:b/>
                <w:sz w:val="24"/>
                <w:szCs w:val="24"/>
              </w:rPr>
              <w:t>:</w:t>
            </w:r>
          </w:p>
        </w:tc>
        <w:tc>
          <w:tcPr>
            <w:tcW w:w="5184" w:type="dxa"/>
            <w:tcMar>
              <w:top w:w="70" w:type="dxa"/>
              <w:left w:w="90" w:type="dxa"/>
              <w:bottom w:w="70" w:type="dxa"/>
              <w:right w:w="90" w:type="dxa"/>
            </w:tcMar>
          </w:tcPr>
          <w:p w14:paraId="4ADC479B" w14:textId="52FF13A9" w:rsidR="009B169C" w:rsidRPr="002A1E76" w:rsidRDefault="002A1E76" w:rsidP="009B169C">
            <w:pPr>
              <w:rPr>
                <w:rFonts w:ascii="Times New Roman" w:hAnsi="Times New Roman" w:cs="Times New Roman"/>
                <w:sz w:val="24"/>
                <w:szCs w:val="24"/>
              </w:rPr>
            </w:pPr>
            <w:r w:rsidRPr="002A1E76">
              <w:rPr>
                <w:rFonts w:ascii="Times New Roman" w:hAnsi="Times New Roman" w:cs="Times New Roman"/>
                <w:color w:val="000000"/>
                <w:sz w:val="24"/>
                <w:shd w:val="clear" w:color="auto" w:fill="FFFFFF"/>
              </w:rPr>
              <w:t>EOI - Chapter 3 Lead Consultant: Climate Impacts and Adaptation for BTR2 and BTR3NC4</w:t>
            </w:r>
          </w:p>
        </w:tc>
      </w:tr>
      <w:tr w:rsidR="009B169C" w:rsidRPr="009B169C" w14:paraId="175C903B" w14:textId="77777777" w:rsidTr="009B169C">
        <w:trPr>
          <w:jc w:val="center"/>
        </w:trPr>
        <w:tc>
          <w:tcPr>
            <w:tcW w:w="5184" w:type="dxa"/>
            <w:shd w:val="clear" w:color="auto" w:fill="DDEBF7"/>
            <w:tcMar>
              <w:top w:w="70" w:type="dxa"/>
              <w:left w:w="90" w:type="dxa"/>
              <w:bottom w:w="70" w:type="dxa"/>
              <w:right w:w="90" w:type="dxa"/>
            </w:tcMar>
          </w:tcPr>
          <w:p w14:paraId="313CD539" w14:textId="77777777" w:rsidR="009B169C" w:rsidRPr="009B169C" w:rsidRDefault="009B169C" w:rsidP="009B169C">
            <w:pPr>
              <w:rPr>
                <w:rFonts w:ascii="Times New Roman" w:hAnsi="Times New Roman" w:cs="Times New Roman"/>
                <w:sz w:val="24"/>
                <w:szCs w:val="24"/>
              </w:rPr>
            </w:pPr>
            <w:r w:rsidRPr="00184F49">
              <w:rPr>
                <w:rFonts w:ascii="Times New Roman" w:hAnsi="Times New Roman" w:cs="Times New Roman"/>
                <w:b/>
                <w:sz w:val="24"/>
                <w:szCs w:val="24"/>
              </w:rPr>
              <w:t xml:space="preserve">Closing </w:t>
            </w:r>
            <w:r>
              <w:rPr>
                <w:rFonts w:ascii="Times New Roman" w:hAnsi="Times New Roman" w:cs="Times New Roman"/>
                <w:b/>
                <w:sz w:val="24"/>
                <w:szCs w:val="24"/>
              </w:rPr>
              <w:t>Date &amp; T</w:t>
            </w:r>
            <w:r w:rsidRPr="00184F49">
              <w:rPr>
                <w:rFonts w:ascii="Times New Roman" w:hAnsi="Times New Roman" w:cs="Times New Roman"/>
                <w:b/>
                <w:sz w:val="24"/>
                <w:szCs w:val="24"/>
              </w:rPr>
              <w:t>ime</w:t>
            </w:r>
            <w:r>
              <w:rPr>
                <w:rFonts w:ascii="Times New Roman" w:hAnsi="Times New Roman" w:cs="Times New Roman"/>
                <w:b/>
                <w:sz w:val="24"/>
                <w:szCs w:val="24"/>
              </w:rPr>
              <w:t>:</w:t>
            </w:r>
          </w:p>
        </w:tc>
        <w:tc>
          <w:tcPr>
            <w:tcW w:w="5184" w:type="dxa"/>
            <w:tcMar>
              <w:top w:w="70" w:type="dxa"/>
              <w:left w:w="90" w:type="dxa"/>
              <w:bottom w:w="70" w:type="dxa"/>
              <w:right w:w="90" w:type="dxa"/>
            </w:tcMar>
          </w:tcPr>
          <w:p w14:paraId="05CCA82E" w14:textId="6DA98204" w:rsidR="009B169C" w:rsidRPr="009B169C" w:rsidRDefault="0090318F" w:rsidP="009B169C">
            <w:pPr>
              <w:rPr>
                <w:rFonts w:ascii="Times New Roman" w:hAnsi="Times New Roman" w:cs="Times New Roman"/>
                <w:sz w:val="24"/>
                <w:szCs w:val="24"/>
              </w:rPr>
            </w:pPr>
            <w:r>
              <w:rPr>
                <w:rFonts w:ascii="Times New Roman" w:hAnsi="Times New Roman" w:cs="Times New Roman"/>
                <w:sz w:val="24"/>
                <w:szCs w:val="24"/>
              </w:rPr>
              <w:t>October 2</w:t>
            </w:r>
            <w:r w:rsidR="009B169C">
              <w:rPr>
                <w:rFonts w:ascii="Times New Roman" w:hAnsi="Times New Roman" w:cs="Times New Roman"/>
                <w:sz w:val="24"/>
                <w:szCs w:val="24"/>
              </w:rPr>
              <w:t>, 2026 @ 4 p.m.</w:t>
            </w:r>
          </w:p>
        </w:tc>
      </w:tr>
    </w:tbl>
    <w:p w14:paraId="5515DEA8" w14:textId="77777777" w:rsidR="00976ACF" w:rsidRPr="009B169C" w:rsidRDefault="00057065">
      <w:pPr>
        <w:spacing w:before="160"/>
        <w:jc w:val="center"/>
        <w:rPr>
          <w:rFonts w:ascii="Times New Roman" w:hAnsi="Times New Roman" w:cs="Times New Roman"/>
          <w:sz w:val="24"/>
          <w:szCs w:val="24"/>
        </w:rPr>
      </w:pPr>
      <w:r w:rsidRPr="009B169C">
        <w:rPr>
          <w:rFonts w:ascii="Times New Roman" w:hAnsi="Times New Roman" w:cs="Times New Roman"/>
          <w:b/>
          <w:color w:val="145A32"/>
          <w:sz w:val="24"/>
          <w:szCs w:val="24"/>
        </w:rPr>
        <w:t>Environmental Protection Agency of Liberia - Protecting the Environment, Sustaining the Future</w:t>
      </w:r>
    </w:p>
    <w:sectPr w:rsidR="00976ACF" w:rsidRPr="009B169C" w:rsidSect="00034616">
      <w:footerReference w:type="default" r:id="rId14"/>
      <w:pgSz w:w="12240" w:h="15840"/>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6ECC1" w14:textId="77777777" w:rsidR="008B52C5" w:rsidRDefault="008B52C5">
      <w:pPr>
        <w:spacing w:after="0"/>
      </w:pPr>
      <w:r>
        <w:separator/>
      </w:r>
    </w:p>
  </w:endnote>
  <w:endnote w:type="continuationSeparator" w:id="0">
    <w:p w14:paraId="192B9EBA" w14:textId="77777777" w:rsidR="008B52C5" w:rsidRDefault="008B52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A3AC4" w14:textId="77777777" w:rsidR="00976ACF" w:rsidRDefault="00057065">
    <w:pPr>
      <w:pStyle w:val="Footer"/>
      <w:jc w:val="center"/>
    </w:pPr>
    <w:r>
      <w:rPr>
        <w:color w:val="646464"/>
        <w:sz w:val="16"/>
      </w:rPr>
      <w:t xml:space="preserve">Page </w:t>
    </w:r>
    <w:r>
      <w:fldChar w:fldCharType="begin"/>
    </w:r>
    <w:r>
      <w:instrText>PAGE</w:instrText>
    </w:r>
    <w:r>
      <w:fldChar w:fldCharType="separate"/>
    </w:r>
    <w:r w:rsidR="002A1E76">
      <w:rPr>
        <w:noProof/>
      </w:rPr>
      <w:t>1</w:t>
    </w:r>
    <w:r>
      <w:fldChar w:fldCharType="end"/>
    </w:r>
    <w:r>
      <w:rPr>
        <w:color w:val="646464"/>
        <w:sz w:val="16"/>
      </w:rPr>
      <w:t xml:space="preserve"> of </w:t>
    </w:r>
    <w:r>
      <w:fldChar w:fldCharType="begin"/>
    </w:r>
    <w:r>
      <w:instrText>NUMPAGES</w:instrText>
    </w:r>
    <w:r>
      <w:fldChar w:fldCharType="separate"/>
    </w:r>
    <w:r w:rsidR="002A1E76">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4A037B" w14:textId="77777777" w:rsidR="008B52C5" w:rsidRDefault="008B52C5">
      <w:pPr>
        <w:spacing w:after="0"/>
      </w:pPr>
      <w:r>
        <w:separator/>
      </w:r>
    </w:p>
  </w:footnote>
  <w:footnote w:type="continuationSeparator" w:id="0">
    <w:p w14:paraId="5362A453" w14:textId="77777777" w:rsidR="008B52C5" w:rsidRDefault="008B52C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7726379">
    <w:abstractNumId w:val="8"/>
  </w:num>
  <w:num w:numId="2" w16cid:durableId="1694530725">
    <w:abstractNumId w:val="6"/>
  </w:num>
  <w:num w:numId="3" w16cid:durableId="810437429">
    <w:abstractNumId w:val="5"/>
  </w:num>
  <w:num w:numId="4" w16cid:durableId="1192454737">
    <w:abstractNumId w:val="4"/>
  </w:num>
  <w:num w:numId="5" w16cid:durableId="842553888">
    <w:abstractNumId w:val="7"/>
  </w:num>
  <w:num w:numId="6" w16cid:durableId="355278644">
    <w:abstractNumId w:val="3"/>
  </w:num>
  <w:num w:numId="7" w16cid:durableId="25106625">
    <w:abstractNumId w:val="2"/>
  </w:num>
  <w:num w:numId="8" w16cid:durableId="1199003936">
    <w:abstractNumId w:val="1"/>
  </w:num>
  <w:num w:numId="9" w16cid:durableId="21244966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7065"/>
    <w:rsid w:val="0006063C"/>
    <w:rsid w:val="0015074B"/>
    <w:rsid w:val="0029639D"/>
    <w:rsid w:val="002A1E76"/>
    <w:rsid w:val="002A2BAD"/>
    <w:rsid w:val="00326F90"/>
    <w:rsid w:val="003A686C"/>
    <w:rsid w:val="004F4BEE"/>
    <w:rsid w:val="005266EE"/>
    <w:rsid w:val="007B19C1"/>
    <w:rsid w:val="008B52C5"/>
    <w:rsid w:val="0090318F"/>
    <w:rsid w:val="00976ACF"/>
    <w:rsid w:val="009B169C"/>
    <w:rsid w:val="00AA1D8D"/>
    <w:rsid w:val="00AF250A"/>
    <w:rsid w:val="00B47730"/>
    <w:rsid w:val="00CB0664"/>
    <w:rsid w:val="00D821E6"/>
    <w:rsid w:val="00EF52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EC2EA9"/>
  <w14:defaultImageDpi w14:val="300"/>
  <w15:docId w15:val="{0DB064B5-4B9A-4FEF-BAC8-F784DC67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Heading1">
    <w:name w:val="heading 1"/>
    <w:basedOn w:val="Normal"/>
    <w:next w:val="Normal"/>
    <w:link w:val="Heading1Char"/>
    <w:autoRedefine/>
    <w:uiPriority w:val="9"/>
    <w:qFormat/>
    <w:rsid w:val="007B19C1"/>
    <w:pPr>
      <w:keepNext/>
      <w:keepLines/>
      <w:spacing w:before="100"/>
      <w:outlineLvl w:val="0"/>
    </w:pPr>
    <w:rPr>
      <w:rFonts w:ascii="Times New Roman" w:eastAsiaTheme="majorEastAsia" w:hAnsi="Times New Roman" w:cstheme="majorBidi"/>
      <w:b/>
      <w:bCs/>
      <w:color w:val="145A32"/>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7B19C1"/>
    <w:rPr>
      <w:rFonts w:ascii="Times New Roman" w:eastAsiaTheme="majorEastAsia" w:hAnsi="Times New Roman" w:cstheme="majorBidi"/>
      <w:b/>
      <w:bCs/>
      <w:color w:val="145A32"/>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B16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karmorh@epa.gov.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ecker@e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sc82.do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551E7-637F-445D-A279-366678AD0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Advertisement - Chapter 3 Lead Consultancy for Climate Impacts and Adaptation</vt:lpstr>
    </vt:vector>
  </TitlesOfParts>
  <Manager/>
  <Company/>
  <LinksUpToDate>false</LinksUpToDate>
  <CharactersWithSpaces>10293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 Chapter 3 Lead Consultancy for Climate Impacts and Adaptation</dc:title>
  <dc:subject>Liberia BTR2 and BTR3/NC4</dc:subject>
  <dc:creator>Environmental Protection Agency of Liberia</dc:creator>
  <cp:keywords/>
  <dc:description>generated by python-docx</dc:description>
  <cp:lastModifiedBy>Charles Asumana</cp:lastModifiedBy>
  <cp:revision>5</cp:revision>
  <dcterms:created xsi:type="dcterms:W3CDTF">2026-09-17T17:52:00Z</dcterms:created>
  <dcterms:modified xsi:type="dcterms:W3CDTF">2026-09-21T13:13:00Z</dcterms:modified>
  <cp:category/>
</cp:coreProperties>
</file>