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512"/>
        <w:gridCol w:w="7560"/>
        <w:gridCol w:w="1512"/>
      </w:tblGrid>
      <w:tr w:rsidR="0014345C" w14:paraId="26727F44" w14:textId="77777777">
        <w:trPr>
          <w:jc w:val="center"/>
        </w:trPr>
        <w:tc>
          <w:tcPr>
            <w:tcW w:w="1512" w:type="dxa"/>
            <w:tcMar>
              <w:top w:w="0" w:type="dxa"/>
              <w:left w:w="25" w:type="dxa"/>
              <w:bottom w:w="0" w:type="dxa"/>
              <w:right w:w="25" w:type="dxa"/>
            </w:tcMar>
          </w:tcPr>
          <w:p w14:paraId="14C744CC" w14:textId="77777777" w:rsidR="0014345C" w:rsidRDefault="004C0A71">
            <w:r>
              <w:rPr>
                <w:noProof/>
              </w:rPr>
              <w:drawing>
                <wp:inline distT="0" distB="0" distL="0" distR="0" wp14:anchorId="33662E6F" wp14:editId="721022E0">
                  <wp:extent cx="658368" cy="44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658368" cy="448166"/>
                          </a:xfrm>
                          <a:prstGeom prst="rect">
                            <a:avLst/>
                          </a:prstGeom>
                        </pic:spPr>
                      </pic:pic>
                    </a:graphicData>
                  </a:graphic>
                </wp:inline>
              </w:drawing>
            </w:r>
          </w:p>
        </w:tc>
        <w:tc>
          <w:tcPr>
            <w:tcW w:w="7560" w:type="dxa"/>
            <w:tcMar>
              <w:top w:w="0" w:type="dxa"/>
              <w:left w:w="25" w:type="dxa"/>
              <w:bottom w:w="0" w:type="dxa"/>
              <w:right w:w="25" w:type="dxa"/>
            </w:tcMar>
          </w:tcPr>
          <w:p w14:paraId="3BA70A4B" w14:textId="77777777" w:rsidR="0014345C" w:rsidRDefault="004C0A71">
            <w:pPr>
              <w:jc w:val="center"/>
            </w:pPr>
            <w:r>
              <w:rPr>
                <w:b/>
                <w:color w:val="145A32"/>
                <w:sz w:val="24"/>
              </w:rPr>
              <w:t>ENVIRONMENTAL PROTECTION AGENCY OF LIBERIA (EPA)</w:t>
            </w:r>
            <w:r>
              <w:rPr>
                <w:sz w:val="17"/>
              </w:rPr>
              <w:br/>
              <w:t xml:space="preserve">P.O. BOX 4024 | </w:t>
            </w:r>
            <w:r w:rsidR="000835EA">
              <w:rPr>
                <w:sz w:val="17"/>
              </w:rPr>
              <w:t>BRIGHT’S BUILDING, S,EKOU TOURE AVENUE, MAMBA POINT</w:t>
            </w:r>
            <w:r>
              <w:rPr>
                <w:sz w:val="17"/>
              </w:rPr>
              <w:br/>
              <w:t>1000 MONROVIA 10, LIBERIA</w:t>
            </w:r>
          </w:p>
        </w:tc>
        <w:tc>
          <w:tcPr>
            <w:tcW w:w="1512" w:type="dxa"/>
            <w:tcMar>
              <w:top w:w="0" w:type="dxa"/>
              <w:left w:w="25" w:type="dxa"/>
              <w:bottom w:w="0" w:type="dxa"/>
              <w:right w:w="25" w:type="dxa"/>
            </w:tcMar>
          </w:tcPr>
          <w:p w14:paraId="1242C454" w14:textId="77777777" w:rsidR="0014345C" w:rsidRDefault="004C0A71">
            <w:r>
              <w:rPr>
                <w:noProof/>
              </w:rPr>
              <w:drawing>
                <wp:inline distT="0" distB="0" distL="0" distR="0" wp14:anchorId="7016ECD0" wp14:editId="3A87CC57">
                  <wp:extent cx="685800" cy="47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685800" cy="479280"/>
                          </a:xfrm>
                          <a:prstGeom prst="rect">
                            <a:avLst/>
                          </a:prstGeom>
                        </pic:spPr>
                      </pic:pic>
                    </a:graphicData>
                  </a:graphic>
                </wp:inline>
              </w:drawing>
            </w:r>
          </w:p>
        </w:tc>
      </w:tr>
    </w:tbl>
    <w:p w14:paraId="118928C0" w14:textId="77777777" w:rsidR="0014345C" w:rsidRDefault="004C0A71">
      <w:pPr>
        <w:jc w:val="center"/>
      </w:pPr>
      <w:r>
        <w:rPr>
          <w:b/>
          <w:color w:val="000000"/>
          <w:sz w:val="28"/>
        </w:rPr>
        <w:t>PUBLIC ADVERTISEMENT</w:t>
      </w:r>
    </w:p>
    <w:p w14:paraId="55ED0772" w14:textId="77777777" w:rsidR="0014345C" w:rsidRPr="005D2B3A" w:rsidRDefault="004C0A71">
      <w:pPr>
        <w:jc w:val="center"/>
        <w:rPr>
          <w:color w:val="000000" w:themeColor="text1"/>
        </w:rPr>
      </w:pPr>
      <w:r w:rsidRPr="005D2B3A">
        <w:rPr>
          <w:b/>
          <w:color w:val="000000" w:themeColor="text1"/>
          <w:sz w:val="21"/>
        </w:rPr>
        <w:t>REQUEST FOR EXPRESSIONS OF INTEREST - INDIVIDUAL CONSULTANT</w:t>
      </w:r>
    </w:p>
    <w:p w14:paraId="01437503" w14:textId="77777777" w:rsidR="0014345C" w:rsidRPr="005D2B3A" w:rsidRDefault="004C0A71">
      <w:pPr>
        <w:jc w:val="center"/>
        <w:rPr>
          <w:color w:val="145A32"/>
        </w:rPr>
      </w:pPr>
      <w:r w:rsidRPr="005D2B3A">
        <w:rPr>
          <w:b/>
          <w:color w:val="145A32"/>
          <w:sz w:val="22"/>
        </w:rPr>
        <w:t>CHAPTER 4 LEAD CONSULTANCY: INFORMATION ON FINANCIAL, TECHNOLOGY DEVELOPMENT AND TRANSFER, AND CAPACITY-BUILDING SUPPORT NEEDED AND RECEIVED</w:t>
      </w:r>
    </w:p>
    <w:tbl>
      <w:tblPr>
        <w:tblStyle w:val="TableGrid"/>
        <w:tblW w:w="0" w:type="auto"/>
        <w:jc w:val="center"/>
        <w:tblLook w:val="04A0" w:firstRow="1" w:lastRow="0" w:firstColumn="1" w:lastColumn="0" w:noHBand="0" w:noVBand="1"/>
      </w:tblPr>
      <w:tblGrid>
        <w:gridCol w:w="2407"/>
        <w:gridCol w:w="7951"/>
      </w:tblGrid>
      <w:tr w:rsidR="0014345C" w14:paraId="7CB6842D" w14:textId="77777777">
        <w:trPr>
          <w:jc w:val="center"/>
        </w:trPr>
        <w:tc>
          <w:tcPr>
            <w:tcW w:w="2232" w:type="dxa"/>
            <w:shd w:val="clear" w:color="auto" w:fill="DDEBF7"/>
            <w:tcMar>
              <w:top w:w="70" w:type="dxa"/>
              <w:left w:w="90" w:type="dxa"/>
              <w:bottom w:w="70" w:type="dxa"/>
              <w:right w:w="90" w:type="dxa"/>
            </w:tcMar>
            <w:vAlign w:val="center"/>
          </w:tcPr>
          <w:p w14:paraId="13ECAA57" w14:textId="77777777" w:rsidR="0014345C" w:rsidRPr="005D2B3A" w:rsidRDefault="000835EA" w:rsidP="005D2B3A">
            <w:pPr>
              <w:jc w:val="both"/>
              <w:rPr>
                <w:rFonts w:ascii="Times New Roman" w:hAnsi="Times New Roman" w:cs="Times New Roman"/>
                <w:sz w:val="24"/>
              </w:rPr>
            </w:pPr>
            <w:r>
              <w:rPr>
                <w:rFonts w:ascii="Times New Roman" w:hAnsi="Times New Roman" w:cs="Times New Roman"/>
                <w:b/>
                <w:sz w:val="24"/>
              </w:rPr>
              <w:t>Project T</w:t>
            </w:r>
            <w:r w:rsidR="004C0A71" w:rsidRPr="005D2B3A">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794F9290" w14:textId="43D1BE1F"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Liberia Enabling Activities for the Preparation of the Second Biennial Transparency Report (BTR2) and the combined Third Biennial Transparency Report and Fourth National Communication (BTR3NC4) to the UNFCCC</w:t>
            </w:r>
          </w:p>
        </w:tc>
      </w:tr>
      <w:tr w:rsidR="0014345C" w14:paraId="383F69B9" w14:textId="77777777">
        <w:trPr>
          <w:jc w:val="center"/>
        </w:trPr>
        <w:tc>
          <w:tcPr>
            <w:tcW w:w="2232" w:type="dxa"/>
            <w:shd w:val="clear" w:color="auto" w:fill="DDEBF7"/>
            <w:tcMar>
              <w:top w:w="70" w:type="dxa"/>
              <w:left w:w="90" w:type="dxa"/>
              <w:bottom w:w="70" w:type="dxa"/>
              <w:right w:w="90" w:type="dxa"/>
            </w:tcMar>
            <w:vAlign w:val="center"/>
          </w:tcPr>
          <w:p w14:paraId="00F99D20" w14:textId="77777777" w:rsidR="0014345C" w:rsidRPr="005D2B3A" w:rsidRDefault="000835EA" w:rsidP="005D2B3A">
            <w:pPr>
              <w:jc w:val="both"/>
              <w:rPr>
                <w:rFonts w:ascii="Times New Roman" w:hAnsi="Times New Roman" w:cs="Times New Roman"/>
                <w:sz w:val="24"/>
              </w:rPr>
            </w:pPr>
            <w:r>
              <w:rPr>
                <w:rFonts w:ascii="Times New Roman" w:hAnsi="Times New Roman" w:cs="Times New Roman"/>
                <w:b/>
                <w:sz w:val="24"/>
              </w:rPr>
              <w:t>Job T</w:t>
            </w:r>
            <w:r w:rsidR="004C0A71" w:rsidRPr="005D2B3A">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030D81F6"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Chapter 4 Lead Consultant - Climate Support Needed and Received</w:t>
            </w:r>
          </w:p>
        </w:tc>
      </w:tr>
      <w:tr w:rsidR="0014345C" w14:paraId="0CA55B9A" w14:textId="77777777">
        <w:trPr>
          <w:jc w:val="center"/>
        </w:trPr>
        <w:tc>
          <w:tcPr>
            <w:tcW w:w="2232" w:type="dxa"/>
            <w:shd w:val="clear" w:color="auto" w:fill="DDEBF7"/>
            <w:tcMar>
              <w:top w:w="70" w:type="dxa"/>
              <w:left w:w="90" w:type="dxa"/>
              <w:bottom w:w="70" w:type="dxa"/>
              <w:right w:w="90" w:type="dxa"/>
            </w:tcMar>
            <w:vAlign w:val="center"/>
          </w:tcPr>
          <w:p w14:paraId="73C7BBC0"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b/>
                <w:sz w:val="24"/>
              </w:rPr>
              <w:t>Division/Department</w:t>
            </w:r>
            <w:r w:rsidR="000835EA">
              <w:rPr>
                <w:rFonts w:ascii="Times New Roman" w:hAnsi="Times New Roman" w:cs="Times New Roman"/>
                <w:b/>
                <w:sz w:val="24"/>
              </w:rPr>
              <w:t>:</w:t>
            </w:r>
          </w:p>
        </w:tc>
        <w:tc>
          <w:tcPr>
            <w:tcW w:w="8352" w:type="dxa"/>
            <w:tcMar>
              <w:top w:w="70" w:type="dxa"/>
              <w:left w:w="90" w:type="dxa"/>
              <w:bottom w:w="70" w:type="dxa"/>
              <w:right w:w="90" w:type="dxa"/>
            </w:tcMar>
            <w:vAlign w:val="center"/>
          </w:tcPr>
          <w:p w14:paraId="507AA8AA"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Climate Change / Multilateral Environmental Agreement Department</w:t>
            </w:r>
          </w:p>
        </w:tc>
      </w:tr>
      <w:tr w:rsidR="0014345C" w14:paraId="70128D96" w14:textId="77777777">
        <w:trPr>
          <w:jc w:val="center"/>
        </w:trPr>
        <w:tc>
          <w:tcPr>
            <w:tcW w:w="2232" w:type="dxa"/>
            <w:shd w:val="clear" w:color="auto" w:fill="DDEBF7"/>
            <w:tcMar>
              <w:top w:w="70" w:type="dxa"/>
              <w:left w:w="90" w:type="dxa"/>
              <w:bottom w:w="70" w:type="dxa"/>
              <w:right w:w="90" w:type="dxa"/>
            </w:tcMar>
            <w:vAlign w:val="center"/>
          </w:tcPr>
          <w:p w14:paraId="3EB7CE41" w14:textId="77777777" w:rsidR="0014345C" w:rsidRPr="005D2B3A" w:rsidRDefault="004C0A71" w:rsidP="005D2B3A">
            <w:pPr>
              <w:jc w:val="both"/>
              <w:rPr>
                <w:rFonts w:ascii="Times New Roman" w:hAnsi="Times New Roman" w:cs="Times New Roman"/>
                <w:sz w:val="24"/>
              </w:rPr>
            </w:pPr>
            <w:proofErr w:type="spellStart"/>
            <w:r w:rsidRPr="005D2B3A">
              <w:rPr>
                <w:rFonts w:ascii="Times New Roman" w:hAnsi="Times New Roman" w:cs="Times New Roman"/>
                <w:b/>
                <w:sz w:val="24"/>
              </w:rPr>
              <w:t>Programme</w:t>
            </w:r>
            <w:proofErr w:type="spellEnd"/>
            <w:r w:rsidRPr="005D2B3A">
              <w:rPr>
                <w:rFonts w:ascii="Times New Roman" w:hAnsi="Times New Roman" w:cs="Times New Roman"/>
                <w:b/>
                <w:sz w:val="24"/>
              </w:rPr>
              <w:t>/Project No.</w:t>
            </w:r>
            <w:r w:rsidR="000835EA">
              <w:rPr>
                <w:rFonts w:ascii="Times New Roman" w:hAnsi="Times New Roman" w:cs="Times New Roman"/>
                <w:b/>
                <w:sz w:val="24"/>
              </w:rPr>
              <w:t>:</w:t>
            </w:r>
          </w:p>
        </w:tc>
        <w:tc>
          <w:tcPr>
            <w:tcW w:w="8352" w:type="dxa"/>
            <w:tcMar>
              <w:top w:w="70" w:type="dxa"/>
              <w:left w:w="90" w:type="dxa"/>
              <w:bottom w:w="70" w:type="dxa"/>
              <w:right w:w="90" w:type="dxa"/>
            </w:tcMar>
            <w:vAlign w:val="center"/>
          </w:tcPr>
          <w:p w14:paraId="2C706D01"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SB-019444.04</w:t>
            </w:r>
          </w:p>
        </w:tc>
      </w:tr>
      <w:tr w:rsidR="0014345C" w14:paraId="44E52A0F" w14:textId="77777777">
        <w:trPr>
          <w:jc w:val="center"/>
        </w:trPr>
        <w:tc>
          <w:tcPr>
            <w:tcW w:w="2232" w:type="dxa"/>
            <w:shd w:val="clear" w:color="auto" w:fill="DDEBF7"/>
            <w:tcMar>
              <w:top w:w="70" w:type="dxa"/>
              <w:left w:w="90" w:type="dxa"/>
              <w:bottom w:w="70" w:type="dxa"/>
              <w:right w:w="90" w:type="dxa"/>
            </w:tcMar>
            <w:vAlign w:val="center"/>
          </w:tcPr>
          <w:p w14:paraId="12CEA59C" w14:textId="77777777" w:rsidR="0014345C" w:rsidRPr="005D2B3A" w:rsidRDefault="000835EA" w:rsidP="005D2B3A">
            <w:pPr>
              <w:jc w:val="both"/>
              <w:rPr>
                <w:rFonts w:ascii="Times New Roman" w:hAnsi="Times New Roman" w:cs="Times New Roman"/>
                <w:sz w:val="24"/>
              </w:rPr>
            </w:pPr>
            <w:r>
              <w:rPr>
                <w:rFonts w:ascii="Times New Roman" w:hAnsi="Times New Roman" w:cs="Times New Roman"/>
                <w:b/>
                <w:sz w:val="24"/>
              </w:rPr>
              <w:t>Duty S</w:t>
            </w:r>
            <w:r w:rsidR="004C0A71" w:rsidRPr="005D2B3A">
              <w:rPr>
                <w:rFonts w:ascii="Times New Roman" w:hAnsi="Times New Roman" w:cs="Times New Roman"/>
                <w:b/>
                <w:sz w:val="24"/>
              </w:rPr>
              <w:t>tation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1CB41DBA"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Monrovia, Liberia, with stakeholder consultations as required</w:t>
            </w:r>
          </w:p>
        </w:tc>
      </w:tr>
      <w:tr w:rsidR="0014345C" w14:paraId="4332BDC1" w14:textId="77777777">
        <w:trPr>
          <w:jc w:val="center"/>
        </w:trPr>
        <w:tc>
          <w:tcPr>
            <w:tcW w:w="2232" w:type="dxa"/>
            <w:shd w:val="clear" w:color="auto" w:fill="DDEBF7"/>
            <w:tcMar>
              <w:top w:w="70" w:type="dxa"/>
              <w:left w:w="90" w:type="dxa"/>
              <w:bottom w:w="70" w:type="dxa"/>
              <w:right w:w="90" w:type="dxa"/>
            </w:tcMar>
            <w:vAlign w:val="center"/>
          </w:tcPr>
          <w:p w14:paraId="268B51D9"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b/>
                <w:sz w:val="24"/>
              </w:rPr>
              <w:t>Reports to</w:t>
            </w:r>
            <w:r w:rsidR="000835EA">
              <w:rPr>
                <w:rFonts w:ascii="Times New Roman" w:hAnsi="Times New Roman" w:cs="Times New Roman"/>
                <w:b/>
                <w:sz w:val="24"/>
              </w:rPr>
              <w:t>:</w:t>
            </w:r>
          </w:p>
        </w:tc>
        <w:tc>
          <w:tcPr>
            <w:tcW w:w="8352" w:type="dxa"/>
            <w:tcMar>
              <w:top w:w="70" w:type="dxa"/>
              <w:left w:w="90" w:type="dxa"/>
              <w:bottom w:w="70" w:type="dxa"/>
              <w:right w:w="90" w:type="dxa"/>
            </w:tcMar>
            <w:vAlign w:val="center"/>
          </w:tcPr>
          <w:p w14:paraId="49CFC7D9"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National Project Coordinator (NPC)</w:t>
            </w:r>
          </w:p>
        </w:tc>
      </w:tr>
      <w:tr w:rsidR="0014345C" w14:paraId="1760E24E" w14:textId="77777777">
        <w:trPr>
          <w:jc w:val="center"/>
        </w:trPr>
        <w:tc>
          <w:tcPr>
            <w:tcW w:w="2232" w:type="dxa"/>
            <w:shd w:val="clear" w:color="auto" w:fill="DDEBF7"/>
            <w:tcMar>
              <w:top w:w="70" w:type="dxa"/>
              <w:left w:w="90" w:type="dxa"/>
              <w:bottom w:w="70" w:type="dxa"/>
              <w:right w:w="90" w:type="dxa"/>
            </w:tcMar>
            <w:vAlign w:val="center"/>
          </w:tcPr>
          <w:p w14:paraId="0CA65A80" w14:textId="77777777" w:rsidR="0014345C" w:rsidRPr="005D2B3A" w:rsidRDefault="000835EA" w:rsidP="005D2B3A">
            <w:pPr>
              <w:jc w:val="both"/>
              <w:rPr>
                <w:rFonts w:ascii="Times New Roman" w:hAnsi="Times New Roman" w:cs="Times New Roman"/>
                <w:sz w:val="24"/>
              </w:rPr>
            </w:pPr>
            <w:r>
              <w:rPr>
                <w:rFonts w:ascii="Times New Roman" w:hAnsi="Times New Roman" w:cs="Times New Roman"/>
                <w:b/>
                <w:sz w:val="24"/>
              </w:rPr>
              <w:t>Contract D</w:t>
            </w:r>
            <w:r w:rsidR="004C0A71" w:rsidRPr="005D2B3A">
              <w:rPr>
                <w:rFonts w:ascii="Times New Roman" w:hAnsi="Times New Roman" w:cs="Times New Roman"/>
                <w:b/>
                <w:sz w:val="24"/>
              </w:rPr>
              <w:t>uration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64EA9B9E" w14:textId="77777777" w:rsidR="0014345C" w:rsidRPr="005D2B3A" w:rsidRDefault="004C0A71" w:rsidP="005D2B3A">
            <w:pPr>
              <w:jc w:val="both"/>
              <w:rPr>
                <w:rFonts w:ascii="Times New Roman" w:hAnsi="Times New Roman" w:cs="Times New Roman"/>
                <w:sz w:val="24"/>
              </w:rPr>
            </w:pPr>
            <w:r w:rsidRPr="005D2B3A">
              <w:rPr>
                <w:rFonts w:ascii="Times New Roman" w:hAnsi="Times New Roman" w:cs="Times New Roman"/>
                <w:sz w:val="24"/>
              </w:rPr>
              <w:t>52 months, with flexibility based on the approved work plan and milestones</w:t>
            </w:r>
          </w:p>
        </w:tc>
      </w:tr>
    </w:tbl>
    <w:p w14:paraId="7AD67F02" w14:textId="77777777" w:rsidR="0014345C" w:rsidRDefault="004C0A71">
      <w:pPr>
        <w:pStyle w:val="Heading1"/>
      </w:pPr>
      <w:r>
        <w:t>1. Background</w:t>
      </w:r>
    </w:p>
    <w:p w14:paraId="11D3642B" w14:textId="77777777" w:rsidR="0014345C" w:rsidRPr="000835EA" w:rsidRDefault="004C0A71" w:rsidP="000835EA">
      <w:pPr>
        <w:jc w:val="both"/>
        <w:rPr>
          <w:rFonts w:ascii="Times New Roman" w:hAnsi="Times New Roman" w:cs="Times New Roman"/>
          <w:sz w:val="24"/>
        </w:rPr>
      </w:pPr>
      <w:r w:rsidRPr="000835EA">
        <w:rPr>
          <w:rFonts w:ascii="Times New Roman" w:hAnsi="Times New Roman" w:cs="Times New Roman"/>
          <w:sz w:val="24"/>
        </w:rPr>
        <w:t>The Environmental Protection Agency (EPA), pursuant to its mandate under the Environmental Protection and Management Law, coordinates Liberia's implementation of multilateral environmental agreements, including the United Nations Framework Convention on Climate Change (UNFCCC) and the Paris Agreement.</w:t>
      </w:r>
    </w:p>
    <w:p w14:paraId="75B6836F" w14:textId="078C220E" w:rsidR="0014345C" w:rsidRPr="000835EA" w:rsidRDefault="004C0A71" w:rsidP="000835EA">
      <w:pPr>
        <w:jc w:val="both"/>
        <w:rPr>
          <w:rFonts w:ascii="Times New Roman" w:hAnsi="Times New Roman" w:cs="Times New Roman"/>
          <w:sz w:val="24"/>
        </w:rPr>
      </w:pPr>
      <w:r w:rsidRPr="000835EA">
        <w:rPr>
          <w:rFonts w:ascii="Times New Roman" w:hAnsi="Times New Roman" w:cs="Times New Roman"/>
          <w:sz w:val="24"/>
        </w:rPr>
        <w:t>Under Articles 9, 10, 11 and 13 of the Paris Agreement, developing country Parties report information on financial, technology development and transfer, and capacity-building support needed and received, including support for transparency-related activities. Liberia is preparing its Second Biennial Transparency Report (BTR2) and its combined Third Biennial Transparency Report and Fourth National Communication (BTR3NC4) in accordance with the Enhanced Transparency Framework.</w:t>
      </w:r>
    </w:p>
    <w:p w14:paraId="75DD33E7" w14:textId="77777777" w:rsidR="0014345C" w:rsidRPr="000835EA" w:rsidRDefault="004C0A71" w:rsidP="000835EA">
      <w:pPr>
        <w:jc w:val="both"/>
        <w:rPr>
          <w:rFonts w:ascii="Times New Roman" w:hAnsi="Times New Roman" w:cs="Times New Roman"/>
          <w:sz w:val="24"/>
        </w:rPr>
      </w:pPr>
      <w:r w:rsidRPr="000835EA">
        <w:rPr>
          <w:rFonts w:ascii="Times New Roman" w:hAnsi="Times New Roman" w:cs="Times New Roman"/>
          <w:sz w:val="24"/>
        </w:rPr>
        <w:t>The EPA therefore invites qualified individual consultants to submit expressions of interest for the Chapter 4 lead consultancy on climate support needed and received.</w:t>
      </w:r>
    </w:p>
    <w:p w14:paraId="421D2B6A" w14:textId="77777777" w:rsidR="0014345C" w:rsidRDefault="004C0A71">
      <w:pPr>
        <w:pStyle w:val="Heading1"/>
      </w:pPr>
      <w:r>
        <w:t>2. Objective of the Assignment</w:t>
      </w:r>
    </w:p>
    <w:p w14:paraId="74175D24" w14:textId="591B813E" w:rsidR="0014345C" w:rsidRPr="000835EA" w:rsidRDefault="004C0A71" w:rsidP="000835EA">
      <w:pPr>
        <w:jc w:val="both"/>
        <w:rPr>
          <w:rFonts w:ascii="Times New Roman" w:hAnsi="Times New Roman" w:cs="Times New Roman"/>
          <w:sz w:val="24"/>
        </w:rPr>
      </w:pPr>
      <w:r w:rsidRPr="000835EA">
        <w:rPr>
          <w:rFonts w:ascii="Times New Roman" w:hAnsi="Times New Roman" w:cs="Times New Roman"/>
          <w:sz w:val="24"/>
        </w:rPr>
        <w:t>The objective is to lead the preparation, review and finalization of Chapter 4 for Liberia</w:t>
      </w:r>
      <w:r w:rsidR="00CB03DD">
        <w:rPr>
          <w:rFonts w:ascii="Times New Roman" w:hAnsi="Times New Roman" w:cs="Times New Roman"/>
          <w:sz w:val="24"/>
        </w:rPr>
        <w:t>’</w:t>
      </w:r>
      <w:r w:rsidRPr="000835EA">
        <w:rPr>
          <w:rFonts w:ascii="Times New Roman" w:hAnsi="Times New Roman" w:cs="Times New Roman"/>
          <w:sz w:val="24"/>
        </w:rPr>
        <w:t>s BTR2 and BTR3/NC4 by compiling and analysing national circumstances, institutional arrangements, country-driven strategies, assumptions, definitions and methodologies, and information on financial, technology and capacity-building support needed and received in narrative and Common Tabular Format form.</w:t>
      </w:r>
    </w:p>
    <w:p w14:paraId="3F5D33E7" w14:textId="77777777" w:rsidR="0014345C" w:rsidRDefault="004C0A71">
      <w:pPr>
        <w:pStyle w:val="Heading1"/>
      </w:pPr>
      <w:r>
        <w:t>3. Scope of Work and Key Responsibilities</w:t>
      </w:r>
    </w:p>
    <w:p w14:paraId="759CE820" w14:textId="77777777" w:rsidR="0014345C" w:rsidRPr="000835EA" w:rsidRDefault="004C0A71">
      <w:pPr>
        <w:rPr>
          <w:rFonts w:ascii="Times New Roman" w:hAnsi="Times New Roman" w:cs="Times New Roman"/>
          <w:sz w:val="24"/>
        </w:rPr>
      </w:pPr>
      <w:r w:rsidRPr="000835EA">
        <w:rPr>
          <w:rFonts w:ascii="Times New Roman" w:hAnsi="Times New Roman" w:cs="Times New Roman"/>
          <w:sz w:val="24"/>
        </w:rPr>
        <w:t>Guided by the approved Project Implementation Plan and working under the National Project Coordinator, the consultant will:</w:t>
      </w:r>
    </w:p>
    <w:p w14:paraId="1F821135"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Compile and update national circumstances, institutional mandates, legal frameworks and country-driven strategies for receiving, coordinating, using and reporting climate-related support.</w:t>
      </w:r>
    </w:p>
    <w:p w14:paraId="5BDAE236"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Map key entities responsible for climate-finance mobilization, technology development and transfer, capacity building, transparency support and expenditure reporting.</w:t>
      </w:r>
    </w:p>
    <w:p w14:paraId="77252827"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Describe and harmonize the assumptions, definitions, classifications and methodologies used to track support needed and received from bilateral, multilateral, domestic and private sources.</w:t>
      </w:r>
    </w:p>
    <w:p w14:paraId="678247A4"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lastRenderedPageBreak/>
        <w:t>Collect, verify and consolidate information on financial support needed and received for mitigation, adaptation and transparency-related activities.</w:t>
      </w:r>
    </w:p>
    <w:p w14:paraId="0C0358F1"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Compile technology-development and transfer needs and support received, including equipment, software, technical assistance, systems and institutional innovations.</w:t>
      </w:r>
    </w:p>
    <w:p w14:paraId="7777BA6A"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Compile capacity-building needs and support received, including training, institutional strengthening, data systems, policy development and reporting capacity.</w:t>
      </w:r>
    </w:p>
    <w:p w14:paraId="47375C6F"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Assess and report support needed and received for implementing Article 13 of the Paris Agreement and other transparency-related activities.</w:t>
      </w:r>
    </w:p>
    <w:p w14:paraId="31E1E5C4"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Complete the applicable UNFCCC Common Tabular Formats and ensure that narrative information is consistent with the reported financial, technology and capacity-building data.</w:t>
      </w:r>
    </w:p>
    <w:p w14:paraId="42386911"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Design and launch a national climate-finance and support-tracking system for monitoring flows by year, source, instrument, sector, recipient, purpose and status.</w:t>
      </w:r>
    </w:p>
    <w:p w14:paraId="09239B5A"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Coordinate data collection and validation with relevant ministries, agencies, development partners, financial institutions, private-sector entities and civil-society organizations.</w:t>
      </w:r>
    </w:p>
    <w:p w14:paraId="360B8DEF" w14:textId="77777777" w:rsidR="0014345C" w:rsidRPr="000835EA"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Coordinate technical peer reviews and stakeholder validation workshops, incorporate comments and document data gaps, improvements and recommendations.</w:t>
      </w:r>
    </w:p>
    <w:p w14:paraId="7450D32D" w14:textId="77777777" w:rsidR="0014345C" w:rsidRDefault="004C0A71">
      <w:pPr>
        <w:pStyle w:val="ListBullet"/>
        <w:spacing w:after="20"/>
        <w:ind w:left="259" w:hanging="173"/>
        <w:rPr>
          <w:rFonts w:ascii="Times New Roman" w:hAnsi="Times New Roman" w:cs="Times New Roman"/>
          <w:sz w:val="24"/>
        </w:rPr>
      </w:pPr>
      <w:r w:rsidRPr="000835EA">
        <w:rPr>
          <w:rFonts w:ascii="Times New Roman" w:hAnsi="Times New Roman" w:cs="Times New Roman"/>
          <w:sz w:val="24"/>
        </w:rPr>
        <w:t>Collaborate with gender, MEL and QA/QC teams to integrate gender-responsive support information and ensure transparency, accuracy, completeness, consistency and comparability.</w:t>
      </w:r>
    </w:p>
    <w:p w14:paraId="5BC25EE1" w14:textId="77777777" w:rsidR="0014345C" w:rsidRDefault="004C0A71">
      <w:pPr>
        <w:pStyle w:val="Heading1"/>
      </w:pPr>
      <w:r>
        <w:t>4. Required Deliverables</w:t>
      </w:r>
    </w:p>
    <w:tbl>
      <w:tblPr>
        <w:tblStyle w:val="TableGrid"/>
        <w:tblW w:w="10471" w:type="dxa"/>
        <w:jc w:val="center"/>
        <w:tblLayout w:type="fixed"/>
        <w:tblLook w:val="04A0" w:firstRow="1" w:lastRow="0" w:firstColumn="1" w:lastColumn="0" w:noHBand="0" w:noVBand="1"/>
      </w:tblPr>
      <w:tblGrid>
        <w:gridCol w:w="592"/>
        <w:gridCol w:w="3780"/>
        <w:gridCol w:w="6099"/>
      </w:tblGrid>
      <w:tr w:rsidR="0014345C" w14:paraId="231A11F9" w14:textId="77777777" w:rsidTr="00FC462B">
        <w:trPr>
          <w:tblHeader/>
          <w:jc w:val="center"/>
        </w:trPr>
        <w:tc>
          <w:tcPr>
            <w:tcW w:w="592" w:type="dxa"/>
            <w:shd w:val="clear" w:color="auto" w:fill="145A32"/>
          </w:tcPr>
          <w:p w14:paraId="4ABECF67"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b/>
                <w:color w:val="FFFFFF"/>
                <w:sz w:val="24"/>
                <w:szCs w:val="24"/>
              </w:rPr>
              <w:t>No.</w:t>
            </w:r>
          </w:p>
        </w:tc>
        <w:tc>
          <w:tcPr>
            <w:tcW w:w="3780" w:type="dxa"/>
            <w:shd w:val="clear" w:color="auto" w:fill="145A32"/>
          </w:tcPr>
          <w:p w14:paraId="15279151"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b/>
                <w:color w:val="FFFFFF"/>
                <w:sz w:val="24"/>
                <w:szCs w:val="24"/>
              </w:rPr>
              <w:t>Deliverable</w:t>
            </w:r>
          </w:p>
        </w:tc>
        <w:tc>
          <w:tcPr>
            <w:tcW w:w="6099" w:type="dxa"/>
            <w:shd w:val="clear" w:color="auto" w:fill="145A32"/>
          </w:tcPr>
          <w:p w14:paraId="29FE7D4F"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b/>
                <w:color w:val="FFFFFF"/>
                <w:sz w:val="24"/>
                <w:szCs w:val="24"/>
              </w:rPr>
              <w:t>Minimum content</w:t>
            </w:r>
          </w:p>
        </w:tc>
      </w:tr>
      <w:tr w:rsidR="0014345C" w14:paraId="5CBA8C36" w14:textId="77777777" w:rsidTr="00FC462B">
        <w:trPr>
          <w:cantSplit/>
          <w:jc w:val="center"/>
        </w:trPr>
        <w:tc>
          <w:tcPr>
            <w:tcW w:w="592" w:type="dxa"/>
            <w:tcMar>
              <w:top w:w="50" w:type="dxa"/>
              <w:left w:w="70" w:type="dxa"/>
              <w:bottom w:w="50" w:type="dxa"/>
              <w:right w:w="70" w:type="dxa"/>
            </w:tcMar>
          </w:tcPr>
          <w:p w14:paraId="3A3041DE" w14:textId="77777777" w:rsidR="00371A5F" w:rsidRDefault="00371A5F" w:rsidP="00371A5F">
            <w:pPr>
              <w:jc w:val="center"/>
              <w:rPr>
                <w:rFonts w:ascii="Times New Roman" w:hAnsi="Times New Roman" w:cs="Times New Roman"/>
                <w:b/>
                <w:sz w:val="24"/>
                <w:szCs w:val="24"/>
              </w:rPr>
            </w:pPr>
          </w:p>
          <w:p w14:paraId="685BB544"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4.1</w:t>
            </w:r>
          </w:p>
        </w:tc>
        <w:tc>
          <w:tcPr>
            <w:tcW w:w="3780" w:type="dxa"/>
            <w:tcMar>
              <w:top w:w="50" w:type="dxa"/>
              <w:left w:w="70" w:type="dxa"/>
              <w:bottom w:w="50" w:type="dxa"/>
              <w:right w:w="70" w:type="dxa"/>
            </w:tcMar>
          </w:tcPr>
          <w:p w14:paraId="2145E6D1"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National circumstances, institutional arrangements and country-driven strategies for BTR2</w:t>
            </w:r>
          </w:p>
        </w:tc>
        <w:tc>
          <w:tcPr>
            <w:tcW w:w="6099" w:type="dxa"/>
            <w:tcMar>
              <w:top w:w="50" w:type="dxa"/>
              <w:left w:w="70" w:type="dxa"/>
              <w:bottom w:w="50" w:type="dxa"/>
              <w:right w:w="70" w:type="dxa"/>
            </w:tcMar>
          </w:tcPr>
          <w:p w14:paraId="11B4B619"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Section describing national circumstances and institutional arrangements relevant to coordinating, receiving, using, providing or mobilizing, and reporting climate-related support.</w:t>
            </w:r>
          </w:p>
        </w:tc>
      </w:tr>
      <w:tr w:rsidR="0014345C" w14:paraId="4F8A0EB6" w14:textId="77777777" w:rsidTr="00FC462B">
        <w:trPr>
          <w:cantSplit/>
          <w:jc w:val="center"/>
        </w:trPr>
        <w:tc>
          <w:tcPr>
            <w:tcW w:w="592" w:type="dxa"/>
            <w:tcMar>
              <w:top w:w="50" w:type="dxa"/>
              <w:left w:w="70" w:type="dxa"/>
              <w:bottom w:w="50" w:type="dxa"/>
              <w:right w:w="70" w:type="dxa"/>
            </w:tcMar>
          </w:tcPr>
          <w:p w14:paraId="7BA1D71E" w14:textId="77777777" w:rsidR="00371A5F" w:rsidRDefault="00371A5F" w:rsidP="00371A5F">
            <w:pPr>
              <w:jc w:val="center"/>
              <w:rPr>
                <w:rFonts w:ascii="Times New Roman" w:hAnsi="Times New Roman" w:cs="Times New Roman"/>
                <w:b/>
                <w:sz w:val="24"/>
                <w:szCs w:val="24"/>
              </w:rPr>
            </w:pPr>
          </w:p>
          <w:p w14:paraId="0AC6A27F"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4.2</w:t>
            </w:r>
          </w:p>
        </w:tc>
        <w:tc>
          <w:tcPr>
            <w:tcW w:w="3780" w:type="dxa"/>
            <w:tcMar>
              <w:top w:w="50" w:type="dxa"/>
              <w:left w:w="70" w:type="dxa"/>
              <w:bottom w:w="50" w:type="dxa"/>
              <w:right w:w="70" w:type="dxa"/>
            </w:tcMar>
          </w:tcPr>
          <w:p w14:paraId="01549AB6"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Underlying assumptions, definitions and methodologies for BTR2</w:t>
            </w:r>
          </w:p>
        </w:tc>
        <w:tc>
          <w:tcPr>
            <w:tcW w:w="6099" w:type="dxa"/>
            <w:tcMar>
              <w:top w:w="50" w:type="dxa"/>
              <w:left w:w="70" w:type="dxa"/>
              <w:bottom w:w="50" w:type="dxa"/>
              <w:right w:w="70" w:type="dxa"/>
            </w:tcMar>
          </w:tcPr>
          <w:p w14:paraId="25BFF0EA"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Documented assumptions, definitions, classifications, exchange</w:t>
            </w:r>
            <w:r w:rsidR="00371A5F">
              <w:rPr>
                <w:rFonts w:ascii="Times New Roman" w:hAnsi="Times New Roman" w:cs="Times New Roman"/>
                <w:sz w:val="24"/>
                <w:szCs w:val="24"/>
              </w:rPr>
              <w:t xml:space="preserve"> </w:t>
            </w:r>
            <w:r w:rsidRPr="00371A5F">
              <w:rPr>
                <w:rFonts w:ascii="Times New Roman" w:hAnsi="Times New Roman" w:cs="Times New Roman"/>
                <w:sz w:val="24"/>
                <w:szCs w:val="24"/>
              </w:rPr>
              <w:t>rate and valuation approaches, reporting boundaries, data sources and methodologies used for information on support needed and received.</w:t>
            </w:r>
          </w:p>
        </w:tc>
      </w:tr>
      <w:tr w:rsidR="0014345C" w14:paraId="1D138A31" w14:textId="77777777" w:rsidTr="00FC462B">
        <w:trPr>
          <w:cantSplit/>
          <w:jc w:val="center"/>
        </w:trPr>
        <w:tc>
          <w:tcPr>
            <w:tcW w:w="592" w:type="dxa"/>
            <w:tcMar>
              <w:top w:w="50" w:type="dxa"/>
              <w:left w:w="70" w:type="dxa"/>
              <w:bottom w:w="50" w:type="dxa"/>
              <w:right w:w="70" w:type="dxa"/>
            </w:tcMar>
          </w:tcPr>
          <w:p w14:paraId="7E6328F4" w14:textId="77777777" w:rsidR="00371A5F" w:rsidRDefault="00371A5F" w:rsidP="00371A5F">
            <w:pPr>
              <w:jc w:val="center"/>
              <w:rPr>
                <w:rFonts w:ascii="Times New Roman" w:hAnsi="Times New Roman" w:cs="Times New Roman"/>
                <w:b/>
                <w:sz w:val="24"/>
                <w:szCs w:val="24"/>
              </w:rPr>
            </w:pPr>
          </w:p>
          <w:p w14:paraId="3D271027"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4.3</w:t>
            </w:r>
          </w:p>
        </w:tc>
        <w:tc>
          <w:tcPr>
            <w:tcW w:w="3780" w:type="dxa"/>
            <w:tcMar>
              <w:top w:w="50" w:type="dxa"/>
              <w:left w:w="70" w:type="dxa"/>
              <w:bottom w:w="50" w:type="dxa"/>
              <w:right w:w="70" w:type="dxa"/>
            </w:tcMar>
          </w:tcPr>
          <w:p w14:paraId="1EA37738"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Financial, technology and capacity-building support needed and received for BTR2</w:t>
            </w:r>
          </w:p>
        </w:tc>
        <w:tc>
          <w:tcPr>
            <w:tcW w:w="6099" w:type="dxa"/>
            <w:tcMar>
              <w:top w:w="50" w:type="dxa"/>
              <w:left w:w="70" w:type="dxa"/>
              <w:bottom w:w="50" w:type="dxa"/>
              <w:right w:w="70" w:type="dxa"/>
            </w:tcMar>
          </w:tcPr>
          <w:p w14:paraId="00216B07"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Narrative chapter and completed applicable Common Tabular Formats covering financial support, technology development and transfer, capacity-building and transparency-related support; peer review and stakeholder validation.</w:t>
            </w:r>
          </w:p>
        </w:tc>
      </w:tr>
      <w:tr w:rsidR="0014345C" w14:paraId="65E357A6" w14:textId="77777777" w:rsidTr="00FC462B">
        <w:trPr>
          <w:cantSplit/>
          <w:jc w:val="center"/>
        </w:trPr>
        <w:tc>
          <w:tcPr>
            <w:tcW w:w="592" w:type="dxa"/>
            <w:tcMar>
              <w:top w:w="50" w:type="dxa"/>
              <w:left w:w="70" w:type="dxa"/>
              <w:bottom w:w="50" w:type="dxa"/>
              <w:right w:w="70" w:type="dxa"/>
            </w:tcMar>
          </w:tcPr>
          <w:p w14:paraId="11A93872" w14:textId="77777777" w:rsidR="00371A5F" w:rsidRDefault="00371A5F" w:rsidP="00371A5F">
            <w:pPr>
              <w:jc w:val="center"/>
              <w:rPr>
                <w:rFonts w:ascii="Times New Roman" w:hAnsi="Times New Roman" w:cs="Times New Roman"/>
                <w:b/>
                <w:sz w:val="24"/>
                <w:szCs w:val="24"/>
              </w:rPr>
            </w:pPr>
          </w:p>
          <w:p w14:paraId="23E72995"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4.4</w:t>
            </w:r>
          </w:p>
        </w:tc>
        <w:tc>
          <w:tcPr>
            <w:tcW w:w="3780" w:type="dxa"/>
            <w:tcMar>
              <w:top w:w="50" w:type="dxa"/>
              <w:left w:w="70" w:type="dxa"/>
              <w:bottom w:w="50" w:type="dxa"/>
              <w:right w:w="70" w:type="dxa"/>
            </w:tcMar>
          </w:tcPr>
          <w:p w14:paraId="76330D7F" w14:textId="0F39FED1"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national circumstances, institutional arrangements and country-driven strategies for BTR3NC4</w:t>
            </w:r>
          </w:p>
        </w:tc>
        <w:tc>
          <w:tcPr>
            <w:tcW w:w="6099" w:type="dxa"/>
            <w:tcMar>
              <w:top w:w="50" w:type="dxa"/>
              <w:left w:w="70" w:type="dxa"/>
              <w:bottom w:w="50" w:type="dxa"/>
              <w:right w:w="70" w:type="dxa"/>
            </w:tcMar>
          </w:tcPr>
          <w:p w14:paraId="1F99AF35"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section reflecting institutional, policy and coordination changes relevant to climate-support mobilization, management and reporting.</w:t>
            </w:r>
          </w:p>
        </w:tc>
      </w:tr>
      <w:tr w:rsidR="0014345C" w14:paraId="63E93745" w14:textId="77777777" w:rsidTr="00FC462B">
        <w:trPr>
          <w:cantSplit/>
          <w:jc w:val="center"/>
        </w:trPr>
        <w:tc>
          <w:tcPr>
            <w:tcW w:w="592" w:type="dxa"/>
            <w:tcMar>
              <w:top w:w="50" w:type="dxa"/>
              <w:left w:w="70" w:type="dxa"/>
              <w:bottom w:w="50" w:type="dxa"/>
              <w:right w:w="70" w:type="dxa"/>
            </w:tcMar>
          </w:tcPr>
          <w:p w14:paraId="5DA65B83" w14:textId="77777777" w:rsidR="00371A5F" w:rsidRDefault="00371A5F" w:rsidP="00371A5F">
            <w:pPr>
              <w:jc w:val="center"/>
              <w:rPr>
                <w:rFonts w:ascii="Times New Roman" w:hAnsi="Times New Roman" w:cs="Times New Roman"/>
                <w:b/>
                <w:sz w:val="24"/>
                <w:szCs w:val="24"/>
              </w:rPr>
            </w:pPr>
          </w:p>
          <w:p w14:paraId="5211931F"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4.5</w:t>
            </w:r>
          </w:p>
        </w:tc>
        <w:tc>
          <w:tcPr>
            <w:tcW w:w="3780" w:type="dxa"/>
            <w:tcMar>
              <w:top w:w="50" w:type="dxa"/>
              <w:left w:w="70" w:type="dxa"/>
              <w:bottom w:w="50" w:type="dxa"/>
              <w:right w:w="70" w:type="dxa"/>
            </w:tcMar>
          </w:tcPr>
          <w:p w14:paraId="0745E0A2" w14:textId="3EF162DB"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assumptions, definitions and methodologies for BTR3NC4</w:t>
            </w:r>
          </w:p>
        </w:tc>
        <w:tc>
          <w:tcPr>
            <w:tcW w:w="6099" w:type="dxa"/>
            <w:tcMar>
              <w:top w:w="50" w:type="dxa"/>
              <w:left w:w="70" w:type="dxa"/>
              <w:bottom w:w="50" w:type="dxa"/>
              <w:right w:w="70" w:type="dxa"/>
            </w:tcMar>
          </w:tcPr>
          <w:p w14:paraId="1EC76E8F"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and improved assumptions, definitions, classifications and methodologies, incorporating lessons, data improvements and relevant UNFCCC guidance since BTR2.</w:t>
            </w:r>
          </w:p>
        </w:tc>
      </w:tr>
      <w:tr w:rsidR="0014345C" w14:paraId="5435C427" w14:textId="77777777" w:rsidTr="00FC462B">
        <w:trPr>
          <w:cantSplit/>
          <w:jc w:val="center"/>
        </w:trPr>
        <w:tc>
          <w:tcPr>
            <w:tcW w:w="592" w:type="dxa"/>
            <w:tcMar>
              <w:top w:w="50" w:type="dxa"/>
              <w:left w:w="70" w:type="dxa"/>
              <w:bottom w:w="50" w:type="dxa"/>
              <w:right w:w="70" w:type="dxa"/>
            </w:tcMar>
          </w:tcPr>
          <w:p w14:paraId="04FA2B4F" w14:textId="77777777" w:rsidR="00371A5F" w:rsidRDefault="00371A5F" w:rsidP="00371A5F">
            <w:pPr>
              <w:jc w:val="center"/>
              <w:rPr>
                <w:rFonts w:ascii="Times New Roman" w:hAnsi="Times New Roman" w:cs="Times New Roman"/>
                <w:b/>
                <w:sz w:val="24"/>
                <w:szCs w:val="24"/>
              </w:rPr>
            </w:pPr>
          </w:p>
          <w:p w14:paraId="0C5C35FE" w14:textId="77777777" w:rsidR="0014345C" w:rsidRPr="00371A5F" w:rsidRDefault="004C0A71" w:rsidP="00371A5F">
            <w:pPr>
              <w:jc w:val="center"/>
              <w:rPr>
                <w:rFonts w:ascii="Times New Roman" w:hAnsi="Times New Roman" w:cs="Times New Roman"/>
                <w:sz w:val="24"/>
                <w:szCs w:val="24"/>
              </w:rPr>
            </w:pPr>
            <w:r w:rsidRPr="00371A5F">
              <w:rPr>
                <w:rFonts w:ascii="Times New Roman" w:hAnsi="Times New Roman" w:cs="Times New Roman"/>
                <w:b/>
                <w:sz w:val="24"/>
                <w:szCs w:val="24"/>
              </w:rPr>
              <w:t>4.6</w:t>
            </w:r>
          </w:p>
        </w:tc>
        <w:tc>
          <w:tcPr>
            <w:tcW w:w="3780" w:type="dxa"/>
            <w:tcMar>
              <w:top w:w="50" w:type="dxa"/>
              <w:left w:w="70" w:type="dxa"/>
              <w:bottom w:w="50" w:type="dxa"/>
              <w:right w:w="70" w:type="dxa"/>
            </w:tcMar>
          </w:tcPr>
          <w:p w14:paraId="488FFEE8" w14:textId="4D6A379C"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financial, technology and capacity-building support needed and received for BTR3NC4</w:t>
            </w:r>
          </w:p>
        </w:tc>
        <w:tc>
          <w:tcPr>
            <w:tcW w:w="6099" w:type="dxa"/>
            <w:tcMar>
              <w:top w:w="50" w:type="dxa"/>
              <w:left w:w="70" w:type="dxa"/>
              <w:bottom w:w="50" w:type="dxa"/>
              <w:right w:w="70" w:type="dxa"/>
            </w:tcMar>
          </w:tcPr>
          <w:p w14:paraId="5732D582"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Updated narrative chapter and Common Tabular Formats; a national climate-finance and support-tracking system; peer review, stakeholder validation, documented gaps and recommendations for future reporting.</w:t>
            </w:r>
          </w:p>
        </w:tc>
      </w:tr>
    </w:tbl>
    <w:p w14:paraId="2DB2E389" w14:textId="77777777" w:rsidR="0014345C" w:rsidRDefault="004C0A71">
      <w:pPr>
        <w:pStyle w:val="Heading1"/>
      </w:pPr>
      <w:r>
        <w:t>5. Qualifications and Experience</w:t>
      </w:r>
    </w:p>
    <w:p w14:paraId="42CFD0AB"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At least a master's degree in climate change, climate finance, economics, finance, environmental management, development studies, public policy, or another closely related discipline.</w:t>
      </w:r>
    </w:p>
    <w:p w14:paraId="3984F80E"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lastRenderedPageBreak/>
        <w:t>At least five (5) years of relevant professional experience, including demonstrated work on climate finance, technology transfer, capacity building, development finance, transparency or related assignments.</w:t>
      </w:r>
    </w:p>
    <w:p w14:paraId="3D2CF2F3"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Strong knowledge of the UNFCCC, Paris Agreement, Enhanced Transparency Framework, MPGs and Common Tabular Formats for support needed and received.</w:t>
      </w:r>
    </w:p>
    <w:p w14:paraId="00712128"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Demonstrated experience collecting, classifying, reconciling and reporting financial and non-financial support data from governmental, bilateral, multilateral, private or other sources.</w:t>
      </w:r>
    </w:p>
    <w:p w14:paraId="0F11BCF2"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Sound knowledge of Liberia's climate-policy, public-finance and institutional context, development priorities and climate-finance architecture.</w:t>
      </w:r>
    </w:p>
    <w:p w14:paraId="368A5959"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Proven capacity to collect, validate, analyse and synthesize quantitative and qualitative information and to prepare high-quality technical reports.</w:t>
      </w:r>
    </w:p>
    <w:p w14:paraId="74926A9B"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Strong stakeholder-engagement, facilitation, teamwork and coordination skills.</w:t>
      </w:r>
    </w:p>
    <w:p w14:paraId="3010B88A"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Proficiency in Microsoft Word, Excel and PowerPoint; competence in relevant data-analysis, modelling or visualization tools is an advantage.</w:t>
      </w:r>
    </w:p>
    <w:p w14:paraId="0C84661F" w14:textId="77777777" w:rsidR="0014345C"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Excellent written and spoken English. Prior experience preparing National Communications, Biennial Transparency Reports, climate-finance assessments, technology-needs assessments or capacity-building reports is a strong advantage.</w:t>
      </w:r>
    </w:p>
    <w:p w14:paraId="4E4E5A86" w14:textId="77777777" w:rsidR="0014345C" w:rsidRDefault="004C0A71">
      <w:pPr>
        <w:pStyle w:val="Heading1"/>
      </w:pPr>
      <w:r>
        <w:t>6. Reporting, Quality and Acceptance</w:t>
      </w:r>
    </w:p>
    <w:p w14:paraId="2EF3A76A" w14:textId="77777777" w:rsidR="0014345C"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The consultant will report to the National Project Coordinator and work closely with the EPA, the Chapter 4 Technical Expert Group, the Ministry of Finance and Development Planning, sectoral focal points, development partners, gender, MEL and QA/QC teams. Deliverables will be accepted upon technical review, incorporation of comments, completion of the relevant narrative and Common Tabular Format requirements, and approval by the EPA/NPC. The final work plan, schedule and payment milestones will form part of the contract.</w:t>
      </w:r>
    </w:p>
    <w:p w14:paraId="546A5417" w14:textId="77777777" w:rsidR="0014345C" w:rsidRDefault="004C0A71">
      <w:pPr>
        <w:pStyle w:val="Heading1"/>
      </w:pPr>
      <w:r>
        <w:t>7. Application Requirements</w:t>
      </w:r>
    </w:p>
    <w:p w14:paraId="0E28D43E" w14:textId="77777777" w:rsidR="0014345C" w:rsidRPr="00371A5F"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Interested candidates should submit:</w:t>
      </w:r>
    </w:p>
    <w:p w14:paraId="4F6318DA"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A signed cover letter/expression of interest explaining suitability for the assignment;</w:t>
      </w:r>
    </w:p>
    <w:p w14:paraId="27BD443B"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A current curriculum vitae, including contact details for at least three professional referees;</w:t>
      </w:r>
    </w:p>
    <w:p w14:paraId="22EF4787"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A brief technical approach and indicative work plan for delivering outputs 4.1-4.6;</w:t>
      </w:r>
    </w:p>
    <w:p w14:paraId="5097D371" w14:textId="77777777" w:rsidR="0014345C" w:rsidRPr="00371A5F"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A financial proposal stating the professional fee and any applicable costs; and</w:t>
      </w:r>
    </w:p>
    <w:p w14:paraId="6B97883D" w14:textId="77777777" w:rsidR="0014345C" w:rsidRDefault="004C0A71" w:rsidP="00371A5F">
      <w:pPr>
        <w:pStyle w:val="ListBullet"/>
        <w:spacing w:after="20"/>
        <w:ind w:left="259" w:hanging="173"/>
        <w:jc w:val="both"/>
        <w:rPr>
          <w:rFonts w:ascii="Times New Roman" w:hAnsi="Times New Roman" w:cs="Times New Roman"/>
          <w:sz w:val="24"/>
          <w:szCs w:val="24"/>
        </w:rPr>
      </w:pPr>
      <w:r w:rsidRPr="00371A5F">
        <w:rPr>
          <w:rFonts w:ascii="Times New Roman" w:hAnsi="Times New Roman" w:cs="Times New Roman"/>
          <w:sz w:val="24"/>
          <w:szCs w:val="24"/>
        </w:rPr>
        <w:t>Copies of relevant academic and professional credentials and, where available, samples or links to comparable work.</w:t>
      </w:r>
    </w:p>
    <w:p w14:paraId="2F528578" w14:textId="77777777" w:rsidR="0014345C" w:rsidRDefault="004C0A71" w:rsidP="00371A5F">
      <w:pPr>
        <w:jc w:val="both"/>
        <w:rPr>
          <w:rFonts w:ascii="Times New Roman" w:hAnsi="Times New Roman" w:cs="Times New Roman"/>
          <w:sz w:val="24"/>
          <w:szCs w:val="24"/>
        </w:rPr>
      </w:pPr>
      <w:r w:rsidRPr="00371A5F">
        <w:rPr>
          <w:rFonts w:ascii="Times New Roman" w:hAnsi="Times New Roman" w:cs="Times New Roman"/>
          <w:sz w:val="24"/>
          <w:szCs w:val="24"/>
        </w:rPr>
        <w:t>Applications from qualified women and men are encouraged. Only shortlisted candidates will be contacted. The EPA reserves the right to verify qualifications and references.</w:t>
      </w:r>
    </w:p>
    <w:p w14:paraId="0BD7296F" w14:textId="77777777" w:rsidR="0014345C" w:rsidRDefault="004C0A71">
      <w:pPr>
        <w:pStyle w:val="Heading1"/>
      </w:pPr>
      <w:r>
        <w:t>8. Submission of Applications</w:t>
      </w:r>
    </w:p>
    <w:tbl>
      <w:tblPr>
        <w:tblStyle w:val="TableGrid"/>
        <w:tblW w:w="0" w:type="auto"/>
        <w:jc w:val="center"/>
        <w:tblLook w:val="04A0" w:firstRow="1" w:lastRow="0" w:firstColumn="1" w:lastColumn="0" w:noHBand="0" w:noVBand="1"/>
      </w:tblPr>
      <w:tblGrid>
        <w:gridCol w:w="2878"/>
        <w:gridCol w:w="7480"/>
      </w:tblGrid>
      <w:tr w:rsidR="0014345C" w:rsidRPr="00371A5F" w14:paraId="72308205" w14:textId="77777777" w:rsidTr="00FC462B">
        <w:trPr>
          <w:trHeight w:val="541"/>
          <w:jc w:val="center"/>
        </w:trPr>
        <w:tc>
          <w:tcPr>
            <w:tcW w:w="2880" w:type="dxa"/>
            <w:shd w:val="clear" w:color="auto" w:fill="DDEBF7"/>
            <w:tcMar>
              <w:top w:w="70" w:type="dxa"/>
              <w:left w:w="90" w:type="dxa"/>
              <w:bottom w:w="70" w:type="dxa"/>
              <w:right w:w="90" w:type="dxa"/>
            </w:tcMar>
          </w:tcPr>
          <w:p w14:paraId="585D3CD2" w14:textId="77777777" w:rsidR="0014345C" w:rsidRPr="00371A5F" w:rsidRDefault="00FC462B">
            <w:pPr>
              <w:rPr>
                <w:rFonts w:ascii="Times New Roman" w:hAnsi="Times New Roman" w:cs="Times New Roman"/>
                <w:sz w:val="24"/>
                <w:szCs w:val="24"/>
              </w:rPr>
            </w:pPr>
            <w:r>
              <w:rPr>
                <w:rFonts w:ascii="Times New Roman" w:hAnsi="Times New Roman" w:cs="Times New Roman"/>
                <w:b/>
                <w:sz w:val="24"/>
                <w:szCs w:val="24"/>
              </w:rPr>
              <w:t>Address A</w:t>
            </w:r>
            <w:r w:rsidR="004C0A71" w:rsidRPr="00371A5F">
              <w:rPr>
                <w:rFonts w:ascii="Times New Roman" w:hAnsi="Times New Roman" w:cs="Times New Roman"/>
                <w:b/>
                <w:sz w:val="24"/>
                <w:szCs w:val="24"/>
              </w:rPr>
              <w:t>pplications to</w:t>
            </w:r>
            <w:r>
              <w:rPr>
                <w:rFonts w:ascii="Times New Roman" w:hAnsi="Times New Roman" w:cs="Times New Roman"/>
                <w:b/>
                <w:sz w:val="24"/>
                <w:szCs w:val="24"/>
              </w:rPr>
              <w:t>:</w:t>
            </w:r>
          </w:p>
        </w:tc>
        <w:tc>
          <w:tcPr>
            <w:tcW w:w="7488" w:type="dxa"/>
            <w:tcMar>
              <w:top w:w="70" w:type="dxa"/>
              <w:left w:w="90" w:type="dxa"/>
              <w:bottom w:w="70" w:type="dxa"/>
              <w:right w:w="90" w:type="dxa"/>
            </w:tcMar>
          </w:tcPr>
          <w:p w14:paraId="0BF338A8" w14:textId="77777777" w:rsidR="00371A5F" w:rsidRPr="00184F49" w:rsidRDefault="00371A5F" w:rsidP="00371A5F">
            <w:pPr>
              <w:spacing w:after="0"/>
              <w:rPr>
                <w:rFonts w:ascii="Times New Roman" w:eastAsia="Calibri" w:hAnsi="Times New Roman"/>
                <w:b/>
                <w:sz w:val="24"/>
              </w:rPr>
            </w:pPr>
            <w:r w:rsidRPr="00184F49">
              <w:rPr>
                <w:rFonts w:ascii="Times New Roman" w:eastAsia="Calibri" w:hAnsi="Times New Roman"/>
                <w:b/>
                <w:sz w:val="24"/>
              </w:rPr>
              <w:t xml:space="preserve">Mr. </w:t>
            </w:r>
            <w:proofErr w:type="spellStart"/>
            <w:r w:rsidRPr="00184F49">
              <w:rPr>
                <w:rFonts w:ascii="Times New Roman" w:eastAsia="Calibri" w:hAnsi="Times New Roman"/>
                <w:b/>
                <w:sz w:val="24"/>
              </w:rPr>
              <w:t>Pescee</w:t>
            </w:r>
            <w:proofErr w:type="spellEnd"/>
            <w:r w:rsidRPr="00184F49">
              <w:rPr>
                <w:rFonts w:ascii="Times New Roman" w:eastAsia="Calibri" w:hAnsi="Times New Roman"/>
                <w:b/>
                <w:sz w:val="24"/>
              </w:rPr>
              <w:t xml:space="preserve"> Doe</w:t>
            </w:r>
          </w:p>
          <w:p w14:paraId="0CD13BE2" w14:textId="75F6E2FC" w:rsidR="00371A5F" w:rsidRPr="00184F49" w:rsidRDefault="00371A5F" w:rsidP="00371A5F">
            <w:pPr>
              <w:spacing w:after="0"/>
              <w:rPr>
                <w:rFonts w:ascii="Times New Roman" w:eastAsia="Calibri" w:hAnsi="Times New Roman"/>
                <w:sz w:val="24"/>
              </w:rPr>
            </w:pPr>
            <w:r w:rsidRPr="00184F49">
              <w:rPr>
                <w:rFonts w:ascii="Times New Roman" w:eastAsia="Calibri" w:hAnsi="Times New Roman"/>
                <w:sz w:val="24"/>
              </w:rPr>
              <w:t>Assistant Director / Procurement</w:t>
            </w:r>
          </w:p>
          <w:p w14:paraId="51F2FF14" w14:textId="77777777" w:rsidR="0014345C" w:rsidRPr="00371A5F" w:rsidRDefault="00371A5F" w:rsidP="00371A5F">
            <w:pPr>
              <w:rPr>
                <w:rFonts w:ascii="Times New Roman" w:hAnsi="Times New Roman" w:cs="Times New Roman"/>
                <w:sz w:val="24"/>
                <w:szCs w:val="24"/>
              </w:rPr>
            </w:pPr>
            <w:r w:rsidRPr="00184F49">
              <w:rPr>
                <w:rFonts w:ascii="Times New Roman" w:eastAsia="Calibri" w:hAnsi="Times New Roman"/>
                <w:sz w:val="24"/>
              </w:rPr>
              <w:t>Environmental Protection Agency (EPA) of Liberia</w:t>
            </w:r>
          </w:p>
        </w:tc>
      </w:tr>
      <w:tr w:rsidR="0014345C" w:rsidRPr="00371A5F" w14:paraId="6EA15DC8" w14:textId="77777777" w:rsidTr="00FC462B">
        <w:trPr>
          <w:trHeight w:val="415"/>
          <w:jc w:val="center"/>
        </w:trPr>
        <w:tc>
          <w:tcPr>
            <w:tcW w:w="2880" w:type="dxa"/>
            <w:shd w:val="clear" w:color="auto" w:fill="DDEBF7"/>
            <w:tcMar>
              <w:top w:w="70" w:type="dxa"/>
              <w:left w:w="90" w:type="dxa"/>
              <w:bottom w:w="70" w:type="dxa"/>
              <w:right w:w="90" w:type="dxa"/>
            </w:tcMar>
          </w:tcPr>
          <w:p w14:paraId="49F8FF43" w14:textId="77777777" w:rsidR="0014345C" w:rsidRPr="00371A5F" w:rsidRDefault="00FC462B">
            <w:pPr>
              <w:rPr>
                <w:rFonts w:ascii="Times New Roman" w:hAnsi="Times New Roman" w:cs="Times New Roman"/>
                <w:sz w:val="24"/>
                <w:szCs w:val="24"/>
              </w:rPr>
            </w:pPr>
            <w:r>
              <w:rPr>
                <w:rFonts w:ascii="Times New Roman" w:hAnsi="Times New Roman" w:cs="Times New Roman"/>
                <w:b/>
                <w:sz w:val="24"/>
                <w:szCs w:val="24"/>
              </w:rPr>
              <w:t>Physical A</w:t>
            </w:r>
            <w:r w:rsidR="004C0A71" w:rsidRPr="00371A5F">
              <w:rPr>
                <w:rFonts w:ascii="Times New Roman" w:hAnsi="Times New Roman" w:cs="Times New Roman"/>
                <w:b/>
                <w:sz w:val="24"/>
                <w:szCs w:val="24"/>
              </w:rPr>
              <w:t>ddress</w:t>
            </w:r>
            <w:r>
              <w:rPr>
                <w:rFonts w:ascii="Times New Roman" w:hAnsi="Times New Roman" w:cs="Times New Roman"/>
                <w:b/>
                <w:sz w:val="24"/>
                <w:szCs w:val="24"/>
              </w:rPr>
              <w:t>:</w:t>
            </w:r>
          </w:p>
        </w:tc>
        <w:tc>
          <w:tcPr>
            <w:tcW w:w="7488" w:type="dxa"/>
            <w:tcMar>
              <w:top w:w="70" w:type="dxa"/>
              <w:left w:w="90" w:type="dxa"/>
              <w:bottom w:w="70" w:type="dxa"/>
              <w:right w:w="90" w:type="dxa"/>
            </w:tcMar>
          </w:tcPr>
          <w:p w14:paraId="70659A82" w14:textId="77777777" w:rsidR="008E518C" w:rsidRDefault="00371A5F" w:rsidP="008E518C">
            <w:pPr>
              <w:spacing w:after="0"/>
              <w:rPr>
                <w:rFonts w:ascii="Times New Roman" w:eastAsia="Calibri" w:hAnsi="Times New Roman"/>
                <w:sz w:val="24"/>
              </w:rPr>
            </w:pPr>
            <w:r w:rsidRPr="00184F49">
              <w:rPr>
                <w:rFonts w:ascii="Times New Roman" w:eastAsia="Calibri" w:hAnsi="Times New Roman"/>
                <w:sz w:val="24"/>
              </w:rPr>
              <w:t>Bright’s Building, Sekou Toure Avenue, Mamba Point</w:t>
            </w:r>
            <w:r w:rsidR="008E518C">
              <w:rPr>
                <w:rFonts w:ascii="Times New Roman" w:eastAsia="Calibri" w:hAnsi="Times New Roman"/>
                <w:sz w:val="24"/>
              </w:rPr>
              <w:t xml:space="preserve"> </w:t>
            </w:r>
          </w:p>
          <w:p w14:paraId="04E56005" w14:textId="77777777" w:rsidR="0014345C" w:rsidRPr="008E518C" w:rsidRDefault="00371A5F" w:rsidP="008E518C">
            <w:pPr>
              <w:spacing w:after="0"/>
              <w:rPr>
                <w:rFonts w:ascii="Times New Roman" w:eastAsia="Calibri" w:hAnsi="Times New Roman"/>
                <w:sz w:val="24"/>
              </w:rPr>
            </w:pPr>
            <w:r w:rsidRPr="00184F49">
              <w:rPr>
                <w:rFonts w:ascii="Times New Roman" w:eastAsia="Calibri" w:hAnsi="Times New Roman"/>
                <w:sz w:val="24"/>
              </w:rPr>
              <w:t>1000 Monrovia, 10 Liberia</w:t>
            </w:r>
          </w:p>
        </w:tc>
      </w:tr>
      <w:tr w:rsidR="0014345C" w:rsidRPr="00371A5F" w14:paraId="11624397" w14:textId="77777777" w:rsidTr="00FC462B">
        <w:trPr>
          <w:trHeight w:val="487"/>
          <w:jc w:val="center"/>
        </w:trPr>
        <w:tc>
          <w:tcPr>
            <w:tcW w:w="2880" w:type="dxa"/>
            <w:shd w:val="clear" w:color="auto" w:fill="DDEBF7"/>
            <w:tcMar>
              <w:top w:w="70" w:type="dxa"/>
              <w:left w:w="90" w:type="dxa"/>
              <w:bottom w:w="70" w:type="dxa"/>
              <w:right w:w="90" w:type="dxa"/>
            </w:tcMar>
          </w:tcPr>
          <w:p w14:paraId="3F97A3D0" w14:textId="77777777" w:rsidR="0014345C" w:rsidRPr="00371A5F" w:rsidRDefault="004C0A71">
            <w:pPr>
              <w:rPr>
                <w:rFonts w:ascii="Times New Roman" w:hAnsi="Times New Roman" w:cs="Times New Roman"/>
                <w:sz w:val="24"/>
                <w:szCs w:val="24"/>
              </w:rPr>
            </w:pPr>
            <w:r w:rsidRPr="00371A5F">
              <w:rPr>
                <w:rFonts w:ascii="Times New Roman" w:hAnsi="Times New Roman" w:cs="Times New Roman"/>
                <w:b/>
                <w:sz w:val="24"/>
                <w:szCs w:val="24"/>
              </w:rPr>
              <w:t>Email</w:t>
            </w:r>
            <w:r w:rsidR="00FC462B">
              <w:rPr>
                <w:rFonts w:ascii="Times New Roman" w:hAnsi="Times New Roman" w:cs="Times New Roman"/>
                <w:b/>
                <w:sz w:val="24"/>
                <w:szCs w:val="24"/>
              </w:rPr>
              <w:t>:</w:t>
            </w:r>
          </w:p>
        </w:tc>
        <w:tc>
          <w:tcPr>
            <w:tcW w:w="7488" w:type="dxa"/>
            <w:tcMar>
              <w:top w:w="70" w:type="dxa"/>
              <w:left w:w="90" w:type="dxa"/>
              <w:bottom w:w="70" w:type="dxa"/>
              <w:right w:w="90" w:type="dxa"/>
            </w:tcMar>
          </w:tcPr>
          <w:p w14:paraId="37743A74" w14:textId="77777777" w:rsidR="00FC462B" w:rsidRPr="00184F49" w:rsidRDefault="00FC462B" w:rsidP="00FC462B">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Email</w:t>
            </w:r>
            <w:r w:rsidRPr="00184F49">
              <w:rPr>
                <w:rFonts w:ascii="Times New Roman" w:eastAsia="Calibri" w:hAnsi="Times New Roman" w:cs="Times New Roman"/>
                <w:sz w:val="24"/>
                <w:szCs w:val="24"/>
              </w:rPr>
              <w:t xml:space="preserve">: </w:t>
            </w:r>
            <w:hyperlink r:id="rId10" w:history="1">
              <w:r w:rsidRPr="00184F49">
                <w:rPr>
                  <w:rStyle w:val="Hyperlink"/>
                  <w:rFonts w:ascii="Times New Roman" w:eastAsia="Calibri" w:hAnsi="Times New Roman" w:cs="Times New Roman"/>
                  <w:sz w:val="24"/>
                  <w:szCs w:val="24"/>
                </w:rPr>
                <w:t>ptdoe@epa.gov.lr</w:t>
              </w:r>
            </w:hyperlink>
            <w:r w:rsidRPr="00184F49">
              <w:rPr>
                <w:rFonts w:ascii="Times New Roman" w:eastAsia="Calibri" w:hAnsi="Times New Roman" w:cs="Times New Roman"/>
                <w:sz w:val="24"/>
                <w:szCs w:val="24"/>
              </w:rPr>
              <w:t xml:space="preserve"> / </w:t>
            </w:r>
            <w:hyperlink r:id="rId11" w:history="1">
              <w:r w:rsidRPr="00184F49">
                <w:rPr>
                  <w:rStyle w:val="Hyperlink"/>
                  <w:rFonts w:ascii="Times New Roman" w:eastAsia="Calibri" w:hAnsi="Times New Roman" w:cs="Times New Roman"/>
                  <w:sz w:val="24"/>
                  <w:szCs w:val="24"/>
                </w:rPr>
                <w:t>pesc82.doe@gmail.com</w:t>
              </w:r>
            </w:hyperlink>
          </w:p>
          <w:p w14:paraId="00F35075" w14:textId="77777777" w:rsidR="0014345C" w:rsidRPr="00371A5F" w:rsidRDefault="00FC462B" w:rsidP="00FC462B">
            <w:pPr>
              <w:rPr>
                <w:rFonts w:ascii="Times New Roman" w:hAnsi="Times New Roman" w:cs="Times New Roman"/>
                <w:sz w:val="24"/>
                <w:szCs w:val="24"/>
              </w:rPr>
            </w:pPr>
            <w:r w:rsidRPr="00184F49">
              <w:rPr>
                <w:rFonts w:ascii="Times New Roman" w:eastAsia="Calibri" w:hAnsi="Times New Roman" w:cs="Times New Roman"/>
                <w:b/>
                <w:bCs/>
                <w:sz w:val="24"/>
                <w:szCs w:val="24"/>
              </w:rPr>
              <w:t>cc</w:t>
            </w:r>
            <w:r w:rsidRPr="00184F49">
              <w:rPr>
                <w:rFonts w:ascii="Times New Roman" w:eastAsia="Calibri" w:hAnsi="Times New Roman" w:cs="Times New Roman"/>
                <w:sz w:val="24"/>
                <w:szCs w:val="24"/>
              </w:rPr>
              <w:t xml:space="preserve">: </w:t>
            </w:r>
            <w:hyperlink r:id="rId12" w:history="1">
              <w:r w:rsidRPr="00184F49">
                <w:rPr>
                  <w:rStyle w:val="Hyperlink"/>
                  <w:rFonts w:ascii="Times New Roman" w:eastAsia="Calibri" w:hAnsi="Times New Roman" w:cs="Times New Roman"/>
                  <w:sz w:val="24"/>
                  <w:szCs w:val="24"/>
                </w:rPr>
                <w:t>abecker@epa.gov.lr</w:t>
              </w:r>
            </w:hyperlink>
            <w:r w:rsidRPr="00184F49">
              <w:rPr>
                <w:rFonts w:ascii="Times New Roman" w:eastAsia="Calibri" w:hAnsi="Times New Roman" w:cs="Times New Roman"/>
                <w:sz w:val="24"/>
                <w:szCs w:val="24"/>
              </w:rPr>
              <w:t xml:space="preserve"> &amp; </w:t>
            </w:r>
            <w:hyperlink r:id="rId13" w:history="1">
              <w:r w:rsidRPr="00184F49">
                <w:rPr>
                  <w:rStyle w:val="Hyperlink"/>
                  <w:rFonts w:ascii="Times New Roman" w:eastAsia="Calibri" w:hAnsi="Times New Roman" w:cs="Times New Roman"/>
                  <w:sz w:val="24"/>
                  <w:szCs w:val="24"/>
                </w:rPr>
                <w:t>bkarmorh@epa.gov.lr</w:t>
              </w:r>
            </w:hyperlink>
          </w:p>
        </w:tc>
      </w:tr>
      <w:tr w:rsidR="0014345C" w:rsidRPr="00371A5F" w14:paraId="6CABF4F1" w14:textId="77777777" w:rsidTr="00FC462B">
        <w:trPr>
          <w:jc w:val="center"/>
        </w:trPr>
        <w:tc>
          <w:tcPr>
            <w:tcW w:w="2880" w:type="dxa"/>
            <w:shd w:val="clear" w:color="auto" w:fill="DDEBF7"/>
            <w:tcMar>
              <w:top w:w="70" w:type="dxa"/>
              <w:left w:w="90" w:type="dxa"/>
              <w:bottom w:w="70" w:type="dxa"/>
              <w:right w:w="90" w:type="dxa"/>
            </w:tcMar>
          </w:tcPr>
          <w:p w14:paraId="01C7BC58" w14:textId="77777777" w:rsidR="0014345C" w:rsidRPr="00371A5F" w:rsidRDefault="00FC462B">
            <w:pPr>
              <w:rPr>
                <w:rFonts w:ascii="Times New Roman" w:hAnsi="Times New Roman" w:cs="Times New Roman"/>
                <w:sz w:val="24"/>
                <w:szCs w:val="24"/>
              </w:rPr>
            </w:pPr>
            <w:r>
              <w:rPr>
                <w:rFonts w:ascii="Times New Roman" w:hAnsi="Times New Roman" w:cs="Times New Roman"/>
                <w:b/>
                <w:sz w:val="24"/>
                <w:szCs w:val="24"/>
              </w:rPr>
              <w:t>Subject L</w:t>
            </w:r>
            <w:r w:rsidR="004C0A71" w:rsidRPr="00371A5F">
              <w:rPr>
                <w:rFonts w:ascii="Times New Roman" w:hAnsi="Times New Roman" w:cs="Times New Roman"/>
                <w:b/>
                <w:sz w:val="24"/>
                <w:szCs w:val="24"/>
              </w:rPr>
              <w:t>ine</w:t>
            </w:r>
            <w:r>
              <w:rPr>
                <w:rFonts w:ascii="Times New Roman" w:hAnsi="Times New Roman" w:cs="Times New Roman"/>
                <w:b/>
                <w:sz w:val="24"/>
                <w:szCs w:val="24"/>
              </w:rPr>
              <w:t>:</w:t>
            </w:r>
          </w:p>
        </w:tc>
        <w:tc>
          <w:tcPr>
            <w:tcW w:w="7488" w:type="dxa"/>
            <w:tcMar>
              <w:top w:w="70" w:type="dxa"/>
              <w:left w:w="90" w:type="dxa"/>
              <w:bottom w:w="70" w:type="dxa"/>
              <w:right w:w="90" w:type="dxa"/>
            </w:tcMar>
          </w:tcPr>
          <w:p w14:paraId="66913BB1" w14:textId="1B6EE64B" w:rsidR="0014345C" w:rsidRPr="00371A5F" w:rsidRDefault="004C0A71">
            <w:pPr>
              <w:rPr>
                <w:rFonts w:ascii="Times New Roman" w:hAnsi="Times New Roman" w:cs="Times New Roman"/>
                <w:sz w:val="24"/>
                <w:szCs w:val="24"/>
              </w:rPr>
            </w:pPr>
            <w:r w:rsidRPr="00371A5F">
              <w:rPr>
                <w:rFonts w:ascii="Times New Roman" w:hAnsi="Times New Roman" w:cs="Times New Roman"/>
                <w:sz w:val="24"/>
                <w:szCs w:val="24"/>
              </w:rPr>
              <w:t>EOI - Chapter 4 Lead Consulta</w:t>
            </w:r>
            <w:r w:rsidR="00FC462B">
              <w:rPr>
                <w:rFonts w:ascii="Times New Roman" w:hAnsi="Times New Roman" w:cs="Times New Roman"/>
                <w:sz w:val="24"/>
                <w:szCs w:val="24"/>
              </w:rPr>
              <w:t>nt: Climate Support for BTR2 &amp;</w:t>
            </w:r>
            <w:r w:rsidRPr="00371A5F">
              <w:rPr>
                <w:rFonts w:ascii="Times New Roman" w:hAnsi="Times New Roman" w:cs="Times New Roman"/>
                <w:sz w:val="24"/>
                <w:szCs w:val="24"/>
              </w:rPr>
              <w:t xml:space="preserve"> BTR3NC4</w:t>
            </w:r>
          </w:p>
        </w:tc>
      </w:tr>
      <w:tr w:rsidR="0014345C" w:rsidRPr="00371A5F" w14:paraId="613D1CF5" w14:textId="77777777" w:rsidTr="00FC462B">
        <w:trPr>
          <w:jc w:val="center"/>
        </w:trPr>
        <w:tc>
          <w:tcPr>
            <w:tcW w:w="2880" w:type="dxa"/>
            <w:shd w:val="clear" w:color="auto" w:fill="DDEBF7"/>
            <w:tcMar>
              <w:top w:w="70" w:type="dxa"/>
              <w:left w:w="90" w:type="dxa"/>
              <w:bottom w:w="70" w:type="dxa"/>
              <w:right w:w="90" w:type="dxa"/>
            </w:tcMar>
          </w:tcPr>
          <w:p w14:paraId="1BE0AF79" w14:textId="77777777" w:rsidR="0014345C" w:rsidRPr="00371A5F" w:rsidRDefault="00FC462B">
            <w:pPr>
              <w:rPr>
                <w:rFonts w:ascii="Times New Roman" w:hAnsi="Times New Roman" w:cs="Times New Roman"/>
                <w:sz w:val="24"/>
                <w:szCs w:val="24"/>
              </w:rPr>
            </w:pPr>
            <w:r>
              <w:rPr>
                <w:rFonts w:ascii="Times New Roman" w:hAnsi="Times New Roman" w:cs="Times New Roman"/>
                <w:b/>
                <w:sz w:val="24"/>
                <w:szCs w:val="24"/>
              </w:rPr>
              <w:t>Closing Date and T</w:t>
            </w:r>
            <w:r w:rsidR="004C0A71" w:rsidRPr="00371A5F">
              <w:rPr>
                <w:rFonts w:ascii="Times New Roman" w:hAnsi="Times New Roman" w:cs="Times New Roman"/>
                <w:b/>
                <w:sz w:val="24"/>
                <w:szCs w:val="24"/>
              </w:rPr>
              <w:t>ime</w:t>
            </w:r>
            <w:r>
              <w:rPr>
                <w:rFonts w:ascii="Times New Roman" w:hAnsi="Times New Roman" w:cs="Times New Roman"/>
                <w:b/>
                <w:sz w:val="24"/>
                <w:szCs w:val="24"/>
              </w:rPr>
              <w:t>:</w:t>
            </w:r>
          </w:p>
        </w:tc>
        <w:tc>
          <w:tcPr>
            <w:tcW w:w="7488" w:type="dxa"/>
            <w:tcMar>
              <w:top w:w="70" w:type="dxa"/>
              <w:left w:w="90" w:type="dxa"/>
              <w:bottom w:w="70" w:type="dxa"/>
              <w:right w:w="90" w:type="dxa"/>
            </w:tcMar>
          </w:tcPr>
          <w:p w14:paraId="15B87A6B" w14:textId="2391653A" w:rsidR="0014345C" w:rsidRPr="00371A5F" w:rsidRDefault="00150B4F">
            <w:pPr>
              <w:rPr>
                <w:rFonts w:ascii="Times New Roman" w:hAnsi="Times New Roman" w:cs="Times New Roman"/>
                <w:sz w:val="24"/>
                <w:szCs w:val="24"/>
              </w:rPr>
            </w:pPr>
            <w:r>
              <w:rPr>
                <w:rFonts w:ascii="Times New Roman" w:hAnsi="Times New Roman" w:cs="Times New Roman"/>
                <w:sz w:val="24"/>
                <w:szCs w:val="24"/>
              </w:rPr>
              <w:t>October 2</w:t>
            </w:r>
            <w:r w:rsidR="00FC462B">
              <w:rPr>
                <w:rFonts w:ascii="Times New Roman" w:hAnsi="Times New Roman" w:cs="Times New Roman"/>
                <w:sz w:val="24"/>
                <w:szCs w:val="24"/>
              </w:rPr>
              <w:t>, 2026 @ 4 p.m.</w:t>
            </w:r>
            <w:r w:rsidR="008E518C">
              <w:rPr>
                <w:rFonts w:ascii="Times New Roman" w:hAnsi="Times New Roman" w:cs="Times New Roman"/>
                <w:sz w:val="24"/>
                <w:szCs w:val="24"/>
              </w:rPr>
              <w:t xml:space="preserve"> Local Time</w:t>
            </w:r>
          </w:p>
        </w:tc>
      </w:tr>
    </w:tbl>
    <w:p w14:paraId="008CC4CA" w14:textId="77777777" w:rsidR="00371A5F" w:rsidRPr="00371A5F" w:rsidRDefault="004C0A71">
      <w:pPr>
        <w:spacing w:before="160"/>
        <w:jc w:val="center"/>
        <w:rPr>
          <w:rFonts w:ascii="Times New Roman" w:hAnsi="Times New Roman" w:cs="Times New Roman"/>
          <w:sz w:val="24"/>
          <w:szCs w:val="24"/>
        </w:rPr>
      </w:pPr>
      <w:r w:rsidRPr="00371A5F">
        <w:rPr>
          <w:rFonts w:ascii="Times New Roman" w:hAnsi="Times New Roman" w:cs="Times New Roman"/>
          <w:b/>
          <w:color w:val="145A32"/>
          <w:sz w:val="24"/>
          <w:szCs w:val="24"/>
        </w:rPr>
        <w:t>Environmental Protection Agency of Liberia - Protecting the Environment, Sustaining the Future</w:t>
      </w:r>
    </w:p>
    <w:sectPr w:rsidR="00371A5F" w:rsidRPr="00371A5F" w:rsidSect="00034616">
      <w:footerReference w:type="default" r:id="rId14"/>
      <w:pgSz w:w="12240" w:h="15840"/>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BE4F3" w14:textId="77777777" w:rsidR="00795CA6" w:rsidRDefault="00795CA6">
      <w:pPr>
        <w:spacing w:after="0"/>
      </w:pPr>
      <w:r>
        <w:separator/>
      </w:r>
    </w:p>
  </w:endnote>
  <w:endnote w:type="continuationSeparator" w:id="0">
    <w:p w14:paraId="3840E997" w14:textId="77777777" w:rsidR="00795CA6" w:rsidRDefault="00795C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2F275" w14:textId="77777777" w:rsidR="0014345C" w:rsidRDefault="004C0A71">
    <w:pPr>
      <w:pStyle w:val="Footer"/>
      <w:jc w:val="center"/>
    </w:pPr>
    <w:r>
      <w:rPr>
        <w:color w:val="646464"/>
        <w:sz w:val="16"/>
      </w:rPr>
      <w:t xml:space="preserve">Page </w:t>
    </w:r>
    <w:r>
      <w:fldChar w:fldCharType="begin"/>
    </w:r>
    <w:r>
      <w:instrText>PAGE</w:instrText>
    </w:r>
    <w:r>
      <w:fldChar w:fldCharType="separate"/>
    </w:r>
    <w:r w:rsidR="008E518C">
      <w:rPr>
        <w:noProof/>
      </w:rPr>
      <w:t>3</w:t>
    </w:r>
    <w:r>
      <w:fldChar w:fldCharType="end"/>
    </w:r>
    <w:r>
      <w:rPr>
        <w:color w:val="646464"/>
        <w:sz w:val="16"/>
      </w:rPr>
      <w:t xml:space="preserve"> of </w:t>
    </w:r>
    <w:r>
      <w:fldChar w:fldCharType="begin"/>
    </w:r>
    <w:r>
      <w:instrText>NUMPAGES</w:instrText>
    </w:r>
    <w:r>
      <w:fldChar w:fldCharType="separate"/>
    </w:r>
    <w:r w:rsidR="008E518C">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525CD1" w14:textId="77777777" w:rsidR="00795CA6" w:rsidRDefault="00795CA6">
      <w:pPr>
        <w:spacing w:after="0"/>
      </w:pPr>
      <w:r>
        <w:separator/>
      </w:r>
    </w:p>
  </w:footnote>
  <w:footnote w:type="continuationSeparator" w:id="0">
    <w:p w14:paraId="4700E77E" w14:textId="77777777" w:rsidR="00795CA6" w:rsidRDefault="00795C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3777048">
    <w:abstractNumId w:val="8"/>
  </w:num>
  <w:num w:numId="2" w16cid:durableId="965965404">
    <w:abstractNumId w:val="6"/>
  </w:num>
  <w:num w:numId="3" w16cid:durableId="1886522030">
    <w:abstractNumId w:val="5"/>
  </w:num>
  <w:num w:numId="4" w16cid:durableId="580532242">
    <w:abstractNumId w:val="4"/>
  </w:num>
  <w:num w:numId="5" w16cid:durableId="2053384823">
    <w:abstractNumId w:val="7"/>
  </w:num>
  <w:num w:numId="6" w16cid:durableId="136067406">
    <w:abstractNumId w:val="3"/>
  </w:num>
  <w:num w:numId="7" w16cid:durableId="1139572638">
    <w:abstractNumId w:val="2"/>
  </w:num>
  <w:num w:numId="8" w16cid:durableId="994648292">
    <w:abstractNumId w:val="1"/>
  </w:num>
  <w:num w:numId="9" w16cid:durableId="6420028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35EA"/>
    <w:rsid w:val="0014345C"/>
    <w:rsid w:val="0015074B"/>
    <w:rsid w:val="00150B4F"/>
    <w:rsid w:val="001C3EE8"/>
    <w:rsid w:val="0029639D"/>
    <w:rsid w:val="002A2BAD"/>
    <w:rsid w:val="00326F90"/>
    <w:rsid w:val="00371A5F"/>
    <w:rsid w:val="004C0A71"/>
    <w:rsid w:val="005D2B3A"/>
    <w:rsid w:val="00795CA6"/>
    <w:rsid w:val="008E518C"/>
    <w:rsid w:val="00AA1D8D"/>
    <w:rsid w:val="00B47730"/>
    <w:rsid w:val="00CB03DD"/>
    <w:rsid w:val="00CB0664"/>
    <w:rsid w:val="00E633C5"/>
    <w:rsid w:val="00EF52E3"/>
    <w:rsid w:val="00F310B4"/>
    <w:rsid w:val="00FC46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638CE"/>
  <w14:defaultImageDpi w14:val="300"/>
  <w15:docId w15:val="{7CF36787-C51C-4F2A-B053-12E47E3B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Heading1">
    <w:name w:val="heading 1"/>
    <w:basedOn w:val="Normal"/>
    <w:next w:val="Normal"/>
    <w:link w:val="Heading1Char"/>
    <w:autoRedefine/>
    <w:uiPriority w:val="9"/>
    <w:qFormat/>
    <w:rsid w:val="005D2B3A"/>
    <w:pPr>
      <w:keepNext/>
      <w:keepLines/>
      <w:spacing w:before="100"/>
      <w:outlineLvl w:val="0"/>
    </w:pPr>
    <w:rPr>
      <w:rFonts w:ascii="Times New Roman" w:eastAsiaTheme="majorEastAsia" w:hAnsi="Times New Roman" w:cstheme="majorBidi"/>
      <w:b/>
      <w:bCs/>
      <w:color w:val="145A32"/>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D2B3A"/>
    <w:rPr>
      <w:rFonts w:ascii="Times New Roman" w:eastAsiaTheme="majorEastAsia" w:hAnsi="Times New Roman" w:cstheme="majorBidi"/>
      <w:b/>
      <w:bCs/>
      <w:color w:val="145A32"/>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71A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karmorh@epa.gov.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ecker@e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sc82.do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8D250-F647-41C1-8FC9-5251FD9B4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Advertisement - Chapter 4 Lead Consultancy for Climate Support Needed and Received</vt:lpstr>
    </vt:vector>
  </TitlesOfParts>
  <Manager/>
  <Company/>
  <LinksUpToDate>false</LinksUpToDate>
  <CharactersWithSpaces>9773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 Chapter 4 Lead Consultancy for Climate Support Needed and Received</dc:title>
  <dc:subject>Liberia BTR2 and BTR3/NC4</dc:subject>
  <dc:creator>Environmental Protection Agency of Liberia</dc:creator>
  <cp:keywords/>
  <dc:description>generated by python-docx</dc:description>
  <cp:lastModifiedBy>Charles Asumana</cp:lastModifiedBy>
  <cp:revision>6</cp:revision>
  <dcterms:created xsi:type="dcterms:W3CDTF">2026-09-17T18:33:00Z</dcterms:created>
  <dcterms:modified xsi:type="dcterms:W3CDTF">2026-09-21T13:14:00Z</dcterms:modified>
  <cp:category/>
</cp:coreProperties>
</file>